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1" w:rsidRPr="005654B1" w:rsidRDefault="005654B1" w:rsidP="00565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595959"/>
          <w:spacing w:val="-6"/>
          <w:sz w:val="28"/>
          <w:szCs w:val="28"/>
          <w:lang w:val="uk-UA"/>
        </w:rPr>
        <w:t>Рекомендована література</w:t>
      </w:r>
    </w:p>
    <w:p w:rsidR="00486E8D" w:rsidRDefault="00486E8D" w:rsidP="00486E8D">
      <w:pPr>
        <w:tabs>
          <w:tab w:val="left" w:pos="0"/>
        </w:tabs>
        <w:ind w:right="2" w:firstLine="567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486E8D" w:rsidRDefault="00486E8D" w:rsidP="00486E8D">
      <w:pPr>
        <w:pStyle w:val="HTML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>Актуальні проблеми господарського права: [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навч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посіб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.] / За ред. В.С. Щербини. – К.: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Юрінком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Інтер, 2013. – 528 с. 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14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Вінник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О.М.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право: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Навчальний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пос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ібник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- 2-ге вид.,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змін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 та доп. - К.: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Всеукраїнська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асоціація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видавців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Правова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єдність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», 2009. - 766 с.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1400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Жук JI.A.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право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ідруч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./ Л.А.Жук,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І.Л.Жук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О.М.Неживець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,- K.: Кондор, 2011. - 434 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1020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Кабанов A.A. Гражданское и торговое право зарубежных стран: Вопросы, ответы и словарь терминов. 2-е изд.,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и доп. - СПб.: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СПбУУиЭ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 2011. - 91 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>Коммерческое право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/П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од ред. В.Ф.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Попондопуло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 В.Ф. Яковлевой -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С-Пб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., 1998.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Коммерческое (торговое) право / под ред. Язева В.А.,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Булатецкого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Ю.Е., Машкина A., Зинчук Е.А. -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ФБК-Пресс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. - М., 2002 г.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Мілаш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В. С.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Комерційний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догові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контексті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сучасних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ринкових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умов 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монографія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/ В. С.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Мілаш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. — X., 2007. — 440 с.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left="0" w:right="2" w:firstLine="567"/>
        <w:jc w:val="both"/>
        <w:rPr>
          <w:rStyle w:val="a5"/>
          <w:b w:val="0"/>
        </w:rPr>
      </w:pP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Муравйов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В.,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Мушак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Н. 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Гармонізація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правом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Європейського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Союзу в рамках Угоди про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асоціацію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між</w:t>
      </w:r>
      <w:proofErr w:type="spellEnd"/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Україною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та ЄС. // Журнал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Верховної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Віче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». - №8. – 2013. [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Електронний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ресурс]. – Режим доступу: </w:t>
      </w:r>
      <w:hyperlink r:id="rId5" w:history="1">
        <w:r>
          <w:rPr>
            <w:rStyle w:val="a4"/>
            <w:color w:val="595959" w:themeColor="text1" w:themeTint="A6"/>
            <w:sz w:val="28"/>
            <w:szCs w:val="28"/>
          </w:rPr>
          <w:t>http://www.viche.info/journal/3616/</w:t>
        </w:r>
      </w:hyperlink>
      <w:r>
        <w:rPr>
          <w:rFonts w:ascii="Times New Roman" w:hAnsi="Times New Roman"/>
          <w:color w:val="595959" w:themeColor="text1" w:themeTint="A6"/>
          <w:sz w:val="28"/>
          <w:szCs w:val="28"/>
        </w:rPr>
        <w:t>;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24"/>
        </w:tabs>
        <w:spacing w:after="0" w:line="240" w:lineRule="auto"/>
        <w:ind w:left="0" w:right="2" w:firstLine="567"/>
        <w:jc w:val="both"/>
      </w:pP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Несинова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С. В., Воронко В. С.,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Чебыкина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Т. С. Хозяйственное право Украины. Учеб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особие. / Под общ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ед. С. В.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Несиновои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- К.: Центр учебной литературы, 2012. - 564 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24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ідприємницьке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право: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Навч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пос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іб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/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Ніколаєва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Л.В., Старцев О.В.,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Пальчук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П.М.,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Іваненко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Л.М. – К. 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Істина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, 2001 – 480 с. 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24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Щербина В.С.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Господарське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право : [</w:t>
      </w:r>
      <w:proofErr w:type="spellStart"/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ідручник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]  / В.С. Щербина. – 6-те вид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>перероб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допов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. – К.</w:t>
      </w:r>
      <w:proofErr w:type="gramStart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Юрінком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</w:rPr>
        <w:t>Інтер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</w:rPr>
        <w:t>, 2013. – 640 с.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24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  <w:t xml:space="preserve">Fox, William F. International Commercial Agreements [Second edition]. – Boston: </w:t>
      </w:r>
      <w:proofErr w:type="spellStart"/>
      <w:r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  <w:t>Kluwer</w:t>
      </w:r>
      <w:proofErr w:type="spellEnd"/>
      <w:r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  <w:t xml:space="preserve"> Law and Taxation Publishers, 1992. – 491 c.</w:t>
      </w:r>
    </w:p>
    <w:p w:rsidR="00486E8D" w:rsidRDefault="00486E8D" w:rsidP="00486E8D">
      <w:pPr>
        <w:widowControl w:val="0"/>
        <w:numPr>
          <w:ilvl w:val="0"/>
          <w:numId w:val="9"/>
        </w:numPr>
        <w:tabs>
          <w:tab w:val="left" w:pos="567"/>
          <w:tab w:val="left" w:pos="924"/>
        </w:tabs>
        <w:spacing w:after="0" w:line="240" w:lineRule="auto"/>
        <w:ind w:left="0" w:right="2" w:firstLine="567"/>
        <w:jc w:val="both"/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</w:pPr>
      <w:r>
        <w:rPr>
          <w:rFonts w:ascii="Times New Roman" w:hAnsi="Times New Roman"/>
          <w:color w:val="595959" w:themeColor="text1" w:themeTint="A6"/>
          <w:sz w:val="28"/>
          <w:szCs w:val="28"/>
          <w:lang w:val="en-US"/>
        </w:rPr>
        <w:t>Good, Roy. Commercial Law [Second edition]. - London: Penguin Books, 1995. – 1201 c.</w:t>
      </w:r>
    </w:p>
    <w:sectPr w:rsidR="00486E8D" w:rsidSect="007D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</w:abstractNum>
  <w:abstractNum w:abstractNumId="1">
    <w:nsid w:val="00000008"/>
    <w:multiLevelType w:val="multi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32724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F74B1B"/>
    <w:multiLevelType w:val="hybridMultilevel"/>
    <w:tmpl w:val="1E82C0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D7A6151"/>
    <w:multiLevelType w:val="hybridMultilevel"/>
    <w:tmpl w:val="593498EC"/>
    <w:lvl w:ilvl="0" w:tplc="0846CD8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A8D7685"/>
    <w:multiLevelType w:val="hybridMultilevel"/>
    <w:tmpl w:val="378451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41E777F"/>
    <w:multiLevelType w:val="hybridMultilevel"/>
    <w:tmpl w:val="3852F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1528E"/>
    <w:multiLevelType w:val="hybridMultilevel"/>
    <w:tmpl w:val="9174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216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B41"/>
    <w:rsid w:val="00146E27"/>
    <w:rsid w:val="001D5B41"/>
    <w:rsid w:val="003225C2"/>
    <w:rsid w:val="00486E8D"/>
    <w:rsid w:val="005654B1"/>
    <w:rsid w:val="007D624E"/>
    <w:rsid w:val="00DA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B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86E8D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8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6E8D"/>
    <w:rPr>
      <w:rFonts w:ascii="Courier New" w:eastAsia="Times New Roman" w:hAnsi="Courier New" w:cs="Times New Roman"/>
      <w:sz w:val="20"/>
      <w:szCs w:val="20"/>
      <w:lang w:val="uk-UA"/>
    </w:rPr>
  </w:style>
  <w:style w:type="character" w:styleId="a5">
    <w:name w:val="Strong"/>
    <w:basedOn w:val="a0"/>
    <w:uiPriority w:val="99"/>
    <w:qFormat/>
    <w:rsid w:val="00486E8D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che.info/journal/36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2019-03-09T20:07:00Z</dcterms:created>
  <dcterms:modified xsi:type="dcterms:W3CDTF">2019-03-09T22:27:00Z</dcterms:modified>
</cp:coreProperties>
</file>