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1803"/>
        <w:gridCol w:w="537"/>
        <w:gridCol w:w="6591"/>
      </w:tblGrid>
      <w:tr w:rsidR="000D6FEE" w:rsidRPr="00B36953" w:rsidTr="00997E2E">
        <w:tc>
          <w:tcPr>
            <w:tcW w:w="1803" w:type="dxa"/>
          </w:tcPr>
          <w:p w:rsidR="000D6FEE" w:rsidRPr="00095702" w:rsidRDefault="000D6FEE" w:rsidP="00997E2E">
            <w:pPr>
              <w:rPr>
                <w:b/>
                <w:color w:val="000000"/>
                <w:sz w:val="28"/>
                <w:szCs w:val="28"/>
              </w:rPr>
            </w:pPr>
            <w:r w:rsidRPr="00095702">
              <w:rPr>
                <w:b/>
                <w:color w:val="000000"/>
                <w:sz w:val="28"/>
                <w:szCs w:val="28"/>
              </w:rPr>
              <w:t>Курс:</w:t>
            </w:r>
          </w:p>
        </w:tc>
        <w:tc>
          <w:tcPr>
            <w:tcW w:w="537" w:type="dxa"/>
          </w:tcPr>
          <w:p w:rsidR="000D6FEE" w:rsidRPr="00095702" w:rsidRDefault="000D6FEE" w:rsidP="00997E2E">
            <w:pPr>
              <w:pStyle w:val="Heading8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91" w:type="dxa"/>
          </w:tcPr>
          <w:p w:rsidR="000D6FEE" w:rsidRPr="00B36953" w:rsidRDefault="000D6FEE" w:rsidP="00997E2E">
            <w:pPr>
              <w:pStyle w:val="Heading7"/>
              <w:rPr>
                <w:b/>
                <w:color w:val="009900"/>
                <w:sz w:val="28"/>
                <w:szCs w:val="28"/>
                <w:lang w:val="uk-UA"/>
              </w:rPr>
            </w:pPr>
            <w:r>
              <w:rPr>
                <w:b/>
                <w:color w:val="0000CC"/>
                <w:sz w:val="28"/>
                <w:szCs w:val="28"/>
              </w:rPr>
              <w:t>Діагностування енергообладнання</w:t>
            </w:r>
          </w:p>
        </w:tc>
      </w:tr>
    </w:tbl>
    <w:p w:rsidR="000D6FEE" w:rsidRPr="00D41AFB" w:rsidRDefault="000D6FEE" w:rsidP="00D41AFB">
      <w:pPr>
        <w:spacing w:before="120" w:after="120" w:line="240" w:lineRule="auto"/>
        <w:ind w:firstLine="709"/>
        <w:jc w:val="center"/>
        <w:rPr>
          <w:rFonts w:ascii="Times New Roman" w:eastAsia="Arial Unicode MS" w:hAnsi="Times New Roman"/>
          <w:b/>
          <w:color w:val="0000CC"/>
          <w:sz w:val="32"/>
          <w:szCs w:val="28"/>
          <w:lang w:val="ru-RU" w:eastAsia="ru-RU"/>
        </w:rPr>
      </w:pPr>
      <w:r w:rsidRPr="00D41AFB">
        <w:rPr>
          <w:rFonts w:ascii="Times New Roman" w:eastAsia="Arial Unicode MS" w:hAnsi="Times New Roman"/>
          <w:b/>
          <w:color w:val="0000CC"/>
          <w:sz w:val="32"/>
          <w:szCs w:val="28"/>
          <w:lang w:val="ru-RU" w:eastAsia="ru-RU"/>
        </w:rPr>
        <w:t>Лабо</w:t>
      </w:r>
      <w:bookmarkStart w:id="0" w:name="_GoBack"/>
      <w:bookmarkEnd w:id="0"/>
      <w:r w:rsidRPr="00D41AFB">
        <w:rPr>
          <w:rFonts w:ascii="Times New Roman" w:eastAsia="Arial Unicode MS" w:hAnsi="Times New Roman"/>
          <w:b/>
          <w:color w:val="0000CC"/>
          <w:sz w:val="32"/>
          <w:szCs w:val="28"/>
          <w:lang w:val="ru-RU" w:eastAsia="ru-RU"/>
        </w:rPr>
        <w:t>раторна робота</w:t>
      </w:r>
      <w:r>
        <w:rPr>
          <w:rFonts w:ascii="Times New Roman" w:eastAsia="Arial Unicode MS" w:hAnsi="Times New Roman"/>
          <w:b/>
          <w:color w:val="0000CC"/>
          <w:sz w:val="32"/>
          <w:szCs w:val="28"/>
          <w:lang w:val="ru-RU" w:eastAsia="ru-RU"/>
        </w:rPr>
        <w:t xml:space="preserve"> № 3_2</w:t>
      </w:r>
    </w:p>
    <w:p w:rsidR="000D6FEE" w:rsidRPr="00D41AFB" w:rsidRDefault="000D6FEE" w:rsidP="00D41AFB">
      <w:pPr>
        <w:spacing w:before="120" w:after="120" w:line="240" w:lineRule="auto"/>
        <w:ind w:firstLine="709"/>
        <w:jc w:val="center"/>
        <w:rPr>
          <w:rFonts w:ascii="Times New Roman" w:eastAsia="Arial Unicode MS" w:hAnsi="Times New Roman"/>
          <w:b/>
          <w:color w:val="0000CC"/>
          <w:sz w:val="32"/>
          <w:szCs w:val="28"/>
          <w:lang w:eastAsia="ru-RU"/>
        </w:rPr>
      </w:pPr>
      <w:r w:rsidRPr="00D41AFB">
        <w:rPr>
          <w:rFonts w:ascii="Times New Roman" w:eastAsia="Arial Unicode MS" w:hAnsi="Times New Roman"/>
          <w:b/>
          <w:color w:val="0000CC"/>
          <w:sz w:val="32"/>
          <w:szCs w:val="28"/>
          <w:lang w:eastAsia="ru-RU"/>
        </w:rPr>
        <w:t>Вимірювання штучного освітлення робочих місць у приміщеннях</w:t>
      </w:r>
    </w:p>
    <w:p w:rsidR="000D6FEE" w:rsidRPr="00D41AFB" w:rsidRDefault="000D6FEE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3B1FFC">
        <w:rPr>
          <w:rFonts w:ascii="Times New Roman" w:eastAsia="Arial Unicode MS" w:hAnsi="Times New Roman"/>
          <w:b/>
          <w:sz w:val="28"/>
          <w:szCs w:val="28"/>
          <w:lang w:eastAsia="ru-RU"/>
        </w:rPr>
        <w:t>Мета роботи: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Набуття практичних навичок щодо визначення </w:t>
      </w:r>
      <w:r w:rsidRPr="003B1FFC">
        <w:rPr>
          <w:rFonts w:ascii="Times New Roman" w:eastAsia="Arial Unicode MS" w:hAnsi="Times New Roman"/>
          <w:sz w:val="28"/>
          <w:szCs w:val="28"/>
          <w:lang w:eastAsia="ru-RU"/>
        </w:rPr>
        <w:t>штучно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ї 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освітленості робочих місць, вивчення приладів для вимірювання освітленості та вимірювання параметрів освітленості.</w:t>
      </w:r>
    </w:p>
    <w:p w:rsidR="000D6FEE" w:rsidRPr="00D41AFB" w:rsidRDefault="000D6FEE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3B1FFC">
        <w:rPr>
          <w:rFonts w:ascii="Times New Roman" w:eastAsia="Arial Unicode MS" w:hAnsi="Times New Roman"/>
          <w:b/>
          <w:sz w:val="28"/>
          <w:szCs w:val="28"/>
          <w:lang w:eastAsia="ru-RU"/>
        </w:rPr>
        <w:t>Завдання: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Ознайомитися з кількісними та якісними показниками освіт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>леності. Дослідити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штучну освітленість з використанням люксметра Ю-116. Визначити залежність освітленості від висоти розташування джерела світла, його типу і характеру колірного покриття стін.</w:t>
      </w:r>
    </w:p>
    <w:p w:rsidR="000D6FEE" w:rsidRPr="00495406" w:rsidRDefault="000D6FEE" w:rsidP="003B1FFC">
      <w:pPr>
        <w:spacing w:before="120" w:after="120" w:line="240" w:lineRule="auto"/>
        <w:ind w:firstLine="709"/>
        <w:jc w:val="center"/>
        <w:rPr>
          <w:rFonts w:ascii="Times New Roman" w:eastAsia="Arial Unicode MS" w:hAnsi="Times New Roman"/>
          <w:b/>
          <w:color w:val="0000CC"/>
          <w:sz w:val="32"/>
          <w:szCs w:val="28"/>
          <w:lang w:eastAsia="ru-RU"/>
        </w:rPr>
      </w:pPr>
      <w:r w:rsidRPr="00495406">
        <w:rPr>
          <w:rFonts w:ascii="Times New Roman" w:eastAsia="Arial Unicode MS" w:hAnsi="Times New Roman"/>
          <w:b/>
          <w:color w:val="0000CC"/>
          <w:sz w:val="32"/>
          <w:szCs w:val="28"/>
          <w:lang w:eastAsia="ru-RU"/>
        </w:rPr>
        <w:t>Вступ</w:t>
      </w:r>
    </w:p>
    <w:p w:rsidR="000D6FEE" w:rsidRPr="00D41AFB" w:rsidRDefault="000D6FEE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Штучне освітлення виробничих приміщень може бути двох видів: загальне освітлення і комбіноване (коли крім загального додається місцеве освітлення). Застосування одного місцевого освітлення не допускається. Штучне освітлення виконується лампами розжарювання і люмінесцентними лампами.</w:t>
      </w:r>
    </w:p>
    <w:p w:rsidR="000D6FEE" w:rsidRDefault="000D6FEE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Залежно від точності роботи, розмірів об'єкта розпізнавання, фону, на якому розпізнається об'єкт і контрасту об’єкта з фоном розроблені норми найменшої освітленості для люмінесцентних ламп і ламп розжарювання в залежності від виду освітленості. Ці норми наведені в таблиці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1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. Для вимірювання штучної освітленості вікна приміщення повинні бути затемнені темними шторами.</w:t>
      </w:r>
    </w:p>
    <w:p w:rsidR="000D6FEE" w:rsidRPr="00495406" w:rsidRDefault="000D6FEE" w:rsidP="00495406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  <w:t>Штучні джерела світла.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Основне призначення освітлення на виробництві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створення кращих умов для бачення. При нічних умовах праці це можна вирішити тільки, використовуючи штучну освітлювальну систему.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Джерела світла, застосовувані для штучного освітлення, ділять на дві групи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газорозрядні лампи і лампи розжарювання.</w:t>
      </w:r>
    </w:p>
    <w:p w:rsidR="000D6FEE" w:rsidRPr="00495406" w:rsidRDefault="000D6FEE" w:rsidP="00495406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  <w:t>Лампи розжарювання.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Лампи розжарювання відносяться до джерел світла теплового випромінювання. Ці лампи мають наступні переваги: зручні в експлуатації; не вимагають додаткових пристроїв для включення в мережу; прості у виготовленні.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Поряд із зазначеними перевагами лампи розжарювання мають і суттєві недоліки: низька світлова віддача (7÷20 лм/Вт), порівняно малий термін служби (до 2,5 тисяч годин), у спектрі переважають жовті та червоні промені, що сильно відрізняє їх спектральний склад від сонячного світла. Вони спотворюють передачу кольору, тому їх не застосовують при роботах, що вимагають розрізнення кольорів.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У освітлювальних установках використовують нормальні (Н) лампи розжарювання багатьох типів: вакуумні (НВ), газонаповнені аргоном у суміші з азотом (НГ), газонаповнені біспіральні (НБ), газонаповнені біспіральні з криптоно-ксеноновим наповненням (НБК), нормальні дзеркальні лампи розжарювання (ЗН) та ін. Дзеркальні лампи розжарювання мають балони параболічної форми у яких внутрішня поверхня частково покрита дзеркальним шаром, а зовнішня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матова. Вони використовуються для освітлення високих приміщень, відкритих просторів, для декоративного освітлення та з іншою метою. Виготовляють лампи з дифузним рефлектором (НГД).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Також існують лампи розжарювання з іодідним циклом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галогенні лампи. Наявність в колбі парів йоду дає можливість підвищити температуру розжарення спіралі; утворюються при цьому пари вольфраму з'єднуються з йодом і знову осідають на вольфрамову спіраль, перешкоджаючи розпорошенню вольфрамової нитки. Термін служби ламп до 3 тисяч годин. Світлова віддача доходить до 40 лм / Вт, спектр випромінювання близький до природного.</w:t>
      </w:r>
    </w:p>
    <w:p w:rsidR="000D6FEE" w:rsidRPr="00495406" w:rsidRDefault="000D6FEE" w:rsidP="00495406">
      <w:pPr>
        <w:spacing w:before="120" w:after="120" w:line="240" w:lineRule="auto"/>
        <w:ind w:firstLine="709"/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  <w:t>Газорозрядні лампи.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Газорозрядні лампи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це прилади, в яких випромінювання оптичного діапазону спектра виникає в результаті електричного розряду в атмосфері інертних газів і парів металів, а також за рахунок явища люмінесценції. Основною перевагою газорозрядних ламп перед лампами розжарювання є велика світлова віддача - 40÷110 лм/Вт (натрієві до 110, люмінесцентні до 75, ртутні до 60, ксенонові до 40 лм/Вт). Вони мають значно більший термін служби, який у деяких типів ламп досягає 8 ÷ 12 тисяч годин. Від газорозрядних ламп можна отримати світловий потік практично в будь-якій частині спектра, підбираючи відповідним чином інертні гази і пари металів, в атмосфері яких відбувається розряд.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Найпоширенішими газорозрядними лампами є люмінесцентні, що мають форму циліндричної трубки. Внутрішня поверхня трубки покрита тонким шаром люмінофора, який призначений для перетворення ультрафіолетового випромінювання, що виникає при електричному розряді в парах ртуті, у видиме світло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Залежно від розподілу світлового потоку по спектру шляхом застосування різних люмінофорів розрізняють кілька типів ламп: денного світла (ЛД), денного світла з поліпшеною передачею кольору (ЛДЦ), холодного білого (ЛХБ), теплого білого (ЛТБ) та білого кольору (ЛБ). Всі перераховані лампи відносяться до газорозрядних люмінесцентних ламп низького тиску. Крім них у виробничому освітленні застосовують газорозрядні лампи високого тиску, наприклад, лампи ДРЛ (дугові ртутні люмінесцентні) та інші, які необхідно використовувати для освітлення більш високих приміщень (6÷10 м).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Люмінесцентна лампа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газорозрядне джерело світла, в якому електричний розряд в парах ртуті створює ультрафіолетове випромінювання, яке перетворюється у видиме світло за допомогою люмінофора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наприклад, суміші галофосфата кальцію з іншими елементами.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Світлова віддача люмінесцентної лампи в кілька разів більше, ніж у ламп розжарювання аналогічної потужності. Термін служби люмінесцентних ламп близько 5 років за умови обмеження кількості увімкнень до 2000, тобто не більше 5 увімкнень на день протягом гарантійного терміну 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2 роки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Найбільш поширені газорозрядні ртутні лампи високого і низького тиску.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Лампи високого тиску застосовують в основному у вуличному освітленні і в освітлювальних установках великої потужності. Лампи низького тиску застосовують для освітлення житлових і виробничих приміщень.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Газорозрядна ртутна лампа низького тиску (ГРЛНД) являє собою скляну трубку з нанесеним на внутрішню поверхню шаром люмінофора, заповнену аргоном під тиском 400 Па і ртуттю (або амальгамою).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Плазмові дисплеї також є різновидом люмінесцентної лампи.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Популярність люмінесцентних ламп обумовлена ​наступними ​їх перевагами (над лампами розжарювання):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значно більша світловіддача (люмінесцентна лампа 20 Вт дає освітленість як лампа розжарювання на 100 Вт) і більш високий ККД;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різноманітність відтінків світла;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розсіяне світло;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тривалий термін служби (2000 ÷ 20000 годин на відміну від 1000 у ламп розжарювання), за умови забезпечення достатньої якості електроживлення, баласту та дотримання обмежень по кількості увімкнень і вимкнень (тому їх не рекомендується застосовувати в місцях загального користування з автоматичними вимикачами та з сенсорами руху).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Недоліками люмінесцентних ламп (ЛЛ) є: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хімічна небезпека (ЛЛ містять ртуть в кількості від 10 мг до </w:t>
      </w:r>
      <w:smartTag w:uri="urn:schemas-microsoft-com:office:smarttags" w:element="metricconverter">
        <w:smartTagPr>
          <w:attr w:name="ProductID" w:val="1 г"/>
        </w:smartTagPr>
        <w:r w:rsidRPr="00495406">
          <w:rPr>
            <w:rFonts w:ascii="Times New Roman" w:eastAsia="Arial Unicode MS" w:hAnsi="Times New Roman"/>
            <w:sz w:val="28"/>
            <w:szCs w:val="28"/>
            <w:lang w:eastAsia="ru-RU"/>
          </w:rPr>
          <w:t>1 г</w:t>
        </w:r>
      </w:smartTag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);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нерівномірний, лінійчатий спектр, неприємний для очей і такий, що викликає спотворення кольору освітлених предметів (існують лампи з люмінофором спектра, близького до суцільного, але мають меншу світловіддачу);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деградація люмінофора з часом призводить до зміни спектра, зменшенню світловіддачі і як наслідок зниження ККД ЛЛ;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мерехтіння лампи з подвійною частотою живильної мережі;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наявність додаткового пристосування для пуску лампи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пускорегулюючого апарату (громіздкий дросель з ненадійним стартером і т. п.);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низький коефіцієнт потужності ламп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такі лампи є невдалим для електромережі навантаженням.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Всі люмінесцентні лампи містять ртуть (в дозах від 1 до 70 мг), яка є отруйною речовиною 1-го класу небезпеки.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Ця доза може заподіяти шкоду здоров'ю, якщо лампа розбилася, і якщо людину постійно піддавати згубному впливу парів ртуті. Пари ртуті будуть накопичуватися в організмі людини, завдаючи шкоди здоров'ю.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Законодавство з RoHS (скорочення з англ. Restriction of use of Hazardous Substances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обмеження використання небезпечних речовин) регламентує застосування ртуті, а також інших потенційно небезпечних елементів в електротехнічному та електронному обладнанні. 1 липня 2006 Директива RoHS вступила в дію на всій території Європейського Співтовариства. Мета Директиви очевидна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обмежити застосування шести основних небезпечних речовин в електричному та електронному обладнанні, тим самим забезпечуючи необхідний рівень захисту здоров'я людей і навколишнього середовищ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Існують різні види маркування люмінесцентних ламп.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Відповідно до ГОСТ 6825-91 (МЕК 81-84) «Лампи люмінесцентні трубчаті для загального освітлення», лампи люмінесцентні лінійні загального призначення маркуються, як: ЛБ (біле світло); ЛД (денне світло); ЛХБ (холодно-білий світло); ЛТБ (тепло-біле світло); ЛЕ (природне світло); ЛХЕ (холодне природне світло).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Додавання літери Ц в кінці означає застосування люмінофора «де-люкс» з поліпшеною передачею кольору, а ЦЦ - люмінофора «супер де-люкс» з високоякісної передачею кольору.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Лампи спеціального призначення маркуються, як: ЛГ, ЛК, ЛЗ, ЛШ, ЛР, ЛГР (лампи кольорового світіння); ЛУФ (лампи ультрафіолетового світла); ДБ (лампа ультрафіолетового світла типу С); ЛСР (синього світла рефлекторні).</w:t>
      </w:r>
    </w:p>
    <w:p w:rsidR="000D6FEE" w:rsidRPr="00495406" w:rsidRDefault="000D6FEE" w:rsidP="00495406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  <w:t>Світлодіодні лампи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Ось вже багато років світлодіодні лампи успішно замінюють застарілі лампи розжарювання. Основою такої лампи є світлодіод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елемент, який перетворює електричний струм в світлове випромінювання. Чим більше сила струму, що проходить через світлодіод, тим яскравіше світло від лампи.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Світлодіодні лампи освітлення ще називають led лампами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від англійської абревіатури "light emitting diode", що перекладається як світло-випромінюючий діод. 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Струм, що надійшов у світлодіод, відразу ж (майже без втрат) перетворюється на світло, що істотно заощаджує втрати електроенергії. Крім того, світлодіод практично не нагрівається, а його світлове випромінювання відбувається у вкрай вузькому спектрі, що дає максимально чисте світло. Сам по собі діод міцний і може прослужити багато років. В діодних лампах використовуються низьковольтні діоди, що робить їх безпечними.</w:t>
      </w:r>
    </w:p>
    <w:p w:rsidR="000D6FEE" w:rsidRPr="00495406" w:rsidRDefault="000D6FEE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Переваги світлодіодних ламп: економічність, довговічність, безпека. Один з параметрів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світлова температура, яка позначається на упаковці літерою К (Кельвін). Показник температури світла впливає на відчуття невдоволення від кольору лампи. Чим нижче показник температури, тим тепліше світло лампи і навпаки. Найпоширеніші показники температури ламп: 2700К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теплий білий; 4100К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нейтрально-білий; 6500К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холодний білий.</w:t>
      </w:r>
    </w:p>
    <w:p w:rsidR="000D6FEE" w:rsidRPr="00D41AFB" w:rsidRDefault="000D6FEE" w:rsidP="00D41AFB">
      <w:pPr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  <w:lang w:val="ru-RU" w:eastAsia="ru-RU"/>
        </w:rPr>
        <w:sectPr w:rsidR="000D6FEE" w:rsidRPr="00D41AFB" w:rsidSect="000B19B6">
          <w:footerReference w:type="default" r:id="rId6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D6FEE" w:rsidRPr="00D41AFB" w:rsidRDefault="000D6FEE" w:rsidP="00D41AFB">
      <w:pPr>
        <w:spacing w:after="12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Таблиця </w:t>
      </w:r>
      <w:r>
        <w:rPr>
          <w:rFonts w:ascii="Times New Roman" w:eastAsia="Arial Unicode MS" w:hAnsi="Times New Roman"/>
          <w:sz w:val="28"/>
          <w:szCs w:val="28"/>
          <w:lang w:val="ru-RU" w:eastAsia="ru-RU"/>
        </w:rPr>
        <w:t>1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Нормована освітленість на робочих поверхнях у виробничих приміщеннях (за СНиП 23-05-95)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99"/>
        <w:gridCol w:w="1779"/>
        <w:gridCol w:w="1700"/>
        <w:gridCol w:w="1715"/>
        <w:gridCol w:w="1642"/>
        <w:gridCol w:w="1999"/>
        <w:gridCol w:w="2256"/>
        <w:gridCol w:w="1696"/>
      </w:tblGrid>
      <w:tr w:rsidR="000D6FEE" w:rsidRPr="00095089" w:rsidTr="00095089">
        <w:trPr>
          <w:trHeight w:val="360"/>
        </w:trPr>
        <w:tc>
          <w:tcPr>
            <w:tcW w:w="1999" w:type="dxa"/>
            <w:vMerge w:val="restart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Характеристика 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зорової роботи</w:t>
            </w:r>
          </w:p>
        </w:tc>
        <w:tc>
          <w:tcPr>
            <w:tcW w:w="1779" w:type="dxa"/>
            <w:vMerge w:val="restart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Найменший 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розмір об’єкту розпізнавання, мм</w:t>
            </w:r>
          </w:p>
        </w:tc>
        <w:tc>
          <w:tcPr>
            <w:tcW w:w="1700" w:type="dxa"/>
            <w:vMerge w:val="restart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Розряд 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зорової 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роботи</w:t>
            </w:r>
          </w:p>
        </w:tc>
        <w:tc>
          <w:tcPr>
            <w:tcW w:w="1715" w:type="dxa"/>
            <w:vMerge w:val="restart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Підрозряд 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зорової 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роботи</w:t>
            </w:r>
          </w:p>
        </w:tc>
        <w:tc>
          <w:tcPr>
            <w:tcW w:w="1642" w:type="dxa"/>
            <w:vMerge w:val="restart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Контраст об’єкта 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з фоном</w:t>
            </w:r>
          </w:p>
        </w:tc>
        <w:tc>
          <w:tcPr>
            <w:tcW w:w="1999" w:type="dxa"/>
            <w:vMerge w:val="restart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Характеристика 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фона</w:t>
            </w:r>
          </w:p>
        </w:tc>
        <w:tc>
          <w:tcPr>
            <w:tcW w:w="3952" w:type="dxa"/>
            <w:gridSpan w:val="2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Освітленість при люмінесцентних лампах, лк</w:t>
            </w:r>
          </w:p>
        </w:tc>
      </w:tr>
      <w:tr w:rsidR="000D6FEE" w:rsidRPr="00095089" w:rsidTr="00095089">
        <w:trPr>
          <w:trHeight w:val="460"/>
        </w:trPr>
        <w:tc>
          <w:tcPr>
            <w:tcW w:w="1999" w:type="dxa"/>
            <w:vMerge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79" w:type="dxa"/>
            <w:vMerge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00" w:type="dxa"/>
            <w:vMerge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15" w:type="dxa"/>
            <w:vMerge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642" w:type="dxa"/>
            <w:vMerge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999" w:type="dxa"/>
            <w:vMerge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2256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Комбіноване 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освітлення</w:t>
            </w:r>
          </w:p>
        </w:tc>
        <w:tc>
          <w:tcPr>
            <w:tcW w:w="1696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Одне загальне освітлення</w:t>
            </w:r>
          </w:p>
        </w:tc>
      </w:tr>
      <w:tr w:rsidR="000D6FEE" w:rsidRPr="00095089" w:rsidTr="00095089">
        <w:trPr>
          <w:trHeight w:val="400"/>
        </w:trPr>
        <w:tc>
          <w:tcPr>
            <w:tcW w:w="1999" w:type="dxa"/>
            <w:vMerge w:val="restart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Найвищої 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точності</w:t>
            </w:r>
          </w:p>
        </w:tc>
        <w:tc>
          <w:tcPr>
            <w:tcW w:w="1779" w:type="dxa"/>
            <w:vMerge w:val="restart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Менше 0,15</w:t>
            </w:r>
          </w:p>
        </w:tc>
        <w:tc>
          <w:tcPr>
            <w:tcW w:w="1700" w:type="dxa"/>
            <w:vMerge w:val="restart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  <w:t>I</w:t>
            </w:r>
          </w:p>
        </w:tc>
        <w:tc>
          <w:tcPr>
            <w:tcW w:w="1715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а</w:t>
            </w:r>
          </w:p>
        </w:tc>
        <w:tc>
          <w:tcPr>
            <w:tcW w:w="1642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Малий</w:t>
            </w:r>
          </w:p>
        </w:tc>
        <w:tc>
          <w:tcPr>
            <w:tcW w:w="1999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Темный</w:t>
            </w:r>
          </w:p>
        </w:tc>
        <w:tc>
          <w:tcPr>
            <w:tcW w:w="225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5000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4500</w:t>
            </w:r>
          </w:p>
        </w:tc>
        <w:tc>
          <w:tcPr>
            <w:tcW w:w="169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–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–</w:t>
            </w:r>
          </w:p>
        </w:tc>
      </w:tr>
      <w:tr w:rsidR="000D6FEE" w:rsidRPr="00095089" w:rsidTr="00095089">
        <w:trPr>
          <w:trHeight w:val="340"/>
        </w:trPr>
        <w:tc>
          <w:tcPr>
            <w:tcW w:w="1999" w:type="dxa"/>
            <w:vMerge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79" w:type="dxa"/>
            <w:vMerge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00" w:type="dxa"/>
            <w:vMerge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715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б</w:t>
            </w:r>
          </w:p>
        </w:tc>
        <w:tc>
          <w:tcPr>
            <w:tcW w:w="1642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Малий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Середній</w:t>
            </w:r>
          </w:p>
        </w:tc>
        <w:tc>
          <w:tcPr>
            <w:tcW w:w="1999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Средний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Темный</w:t>
            </w:r>
          </w:p>
        </w:tc>
        <w:tc>
          <w:tcPr>
            <w:tcW w:w="225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4000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3500</w:t>
            </w:r>
          </w:p>
        </w:tc>
        <w:tc>
          <w:tcPr>
            <w:tcW w:w="169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1250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1000</w:t>
            </w:r>
          </w:p>
        </w:tc>
      </w:tr>
      <w:tr w:rsidR="000D6FEE" w:rsidRPr="00095089" w:rsidTr="00095089">
        <w:trPr>
          <w:trHeight w:val="340"/>
        </w:trPr>
        <w:tc>
          <w:tcPr>
            <w:tcW w:w="1999" w:type="dxa"/>
            <w:vMerge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79" w:type="dxa"/>
            <w:vMerge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00" w:type="dxa"/>
            <w:vMerge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715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</w:t>
            </w:r>
          </w:p>
        </w:tc>
        <w:tc>
          <w:tcPr>
            <w:tcW w:w="1642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Малый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Середній 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Великий</w:t>
            </w:r>
          </w:p>
        </w:tc>
        <w:tc>
          <w:tcPr>
            <w:tcW w:w="1999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Світлий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Середній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Темный</w:t>
            </w:r>
          </w:p>
        </w:tc>
        <w:tc>
          <w:tcPr>
            <w:tcW w:w="225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2500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2000</w:t>
            </w:r>
          </w:p>
        </w:tc>
        <w:tc>
          <w:tcPr>
            <w:tcW w:w="169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750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600</w:t>
            </w:r>
          </w:p>
        </w:tc>
      </w:tr>
      <w:tr w:rsidR="000D6FEE" w:rsidRPr="00095089" w:rsidTr="00095089">
        <w:trPr>
          <w:trHeight w:val="282"/>
        </w:trPr>
        <w:tc>
          <w:tcPr>
            <w:tcW w:w="1999" w:type="dxa"/>
            <w:vMerge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79" w:type="dxa"/>
            <w:vMerge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00" w:type="dxa"/>
            <w:vMerge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715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г</w:t>
            </w:r>
          </w:p>
        </w:tc>
        <w:tc>
          <w:tcPr>
            <w:tcW w:w="1642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Середній 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Великий</w:t>
            </w:r>
          </w:p>
        </w:tc>
        <w:tc>
          <w:tcPr>
            <w:tcW w:w="1999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Світлий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Світлий</w:t>
            </w:r>
          </w:p>
        </w:tc>
        <w:tc>
          <w:tcPr>
            <w:tcW w:w="225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1500</w:t>
            </w:r>
          </w:p>
        </w:tc>
        <w:tc>
          <w:tcPr>
            <w:tcW w:w="169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400</w:t>
            </w:r>
          </w:p>
        </w:tc>
      </w:tr>
      <w:tr w:rsidR="000D6FEE" w:rsidRPr="00095089" w:rsidTr="00095089">
        <w:trPr>
          <w:trHeight w:val="360"/>
        </w:trPr>
        <w:tc>
          <w:tcPr>
            <w:tcW w:w="1999" w:type="dxa"/>
            <w:vMerge w:val="restart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Дуже високої 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точності</w:t>
            </w:r>
          </w:p>
        </w:tc>
        <w:tc>
          <w:tcPr>
            <w:tcW w:w="1779" w:type="dxa"/>
            <w:vMerge w:val="restart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Від 0,15</w:t>
            </w:r>
          </w:p>
        </w:tc>
        <w:tc>
          <w:tcPr>
            <w:tcW w:w="1700" w:type="dxa"/>
            <w:vMerge w:val="restart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  <w:t>II</w:t>
            </w:r>
          </w:p>
        </w:tc>
        <w:tc>
          <w:tcPr>
            <w:tcW w:w="1715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а</w:t>
            </w:r>
          </w:p>
        </w:tc>
        <w:tc>
          <w:tcPr>
            <w:tcW w:w="1642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Малий</w:t>
            </w:r>
          </w:p>
        </w:tc>
        <w:tc>
          <w:tcPr>
            <w:tcW w:w="1999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Темний</w:t>
            </w:r>
          </w:p>
        </w:tc>
        <w:tc>
          <w:tcPr>
            <w:tcW w:w="225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4000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3500</w:t>
            </w:r>
          </w:p>
        </w:tc>
        <w:tc>
          <w:tcPr>
            <w:tcW w:w="169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–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–</w:t>
            </w:r>
          </w:p>
        </w:tc>
      </w:tr>
      <w:tr w:rsidR="000D6FEE" w:rsidRPr="00095089" w:rsidTr="00095089">
        <w:trPr>
          <w:trHeight w:val="330"/>
        </w:trPr>
        <w:tc>
          <w:tcPr>
            <w:tcW w:w="1999" w:type="dxa"/>
            <w:vMerge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79" w:type="dxa"/>
            <w:vMerge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00" w:type="dxa"/>
            <w:vMerge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715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б</w:t>
            </w:r>
          </w:p>
        </w:tc>
        <w:tc>
          <w:tcPr>
            <w:tcW w:w="1642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Малий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Середній</w:t>
            </w:r>
          </w:p>
        </w:tc>
        <w:tc>
          <w:tcPr>
            <w:tcW w:w="1999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Середній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Темний</w:t>
            </w:r>
          </w:p>
        </w:tc>
        <w:tc>
          <w:tcPr>
            <w:tcW w:w="225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3000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2500</w:t>
            </w:r>
          </w:p>
        </w:tc>
        <w:tc>
          <w:tcPr>
            <w:tcW w:w="169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750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600</w:t>
            </w:r>
          </w:p>
        </w:tc>
      </w:tr>
      <w:tr w:rsidR="000D6FEE" w:rsidRPr="00095089" w:rsidTr="00095089">
        <w:trPr>
          <w:trHeight w:val="200"/>
        </w:trPr>
        <w:tc>
          <w:tcPr>
            <w:tcW w:w="1999" w:type="dxa"/>
            <w:vMerge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79" w:type="dxa"/>
            <w:vMerge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00" w:type="dxa"/>
            <w:vMerge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715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</w:t>
            </w:r>
          </w:p>
        </w:tc>
        <w:tc>
          <w:tcPr>
            <w:tcW w:w="1642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Малий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Середній 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Великий</w:t>
            </w:r>
          </w:p>
        </w:tc>
        <w:tc>
          <w:tcPr>
            <w:tcW w:w="1999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Світлий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Середній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Темний</w:t>
            </w:r>
          </w:p>
        </w:tc>
        <w:tc>
          <w:tcPr>
            <w:tcW w:w="225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2000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1500</w:t>
            </w:r>
          </w:p>
        </w:tc>
        <w:tc>
          <w:tcPr>
            <w:tcW w:w="169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500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400</w:t>
            </w:r>
          </w:p>
        </w:tc>
      </w:tr>
      <w:tr w:rsidR="000D6FEE" w:rsidRPr="00095089" w:rsidTr="00095089">
        <w:trPr>
          <w:trHeight w:val="340"/>
        </w:trPr>
        <w:tc>
          <w:tcPr>
            <w:tcW w:w="1999" w:type="dxa"/>
            <w:vMerge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79" w:type="dxa"/>
            <w:vMerge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00" w:type="dxa"/>
            <w:vMerge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715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г</w:t>
            </w:r>
          </w:p>
        </w:tc>
        <w:tc>
          <w:tcPr>
            <w:tcW w:w="1642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Середній 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Великий</w:t>
            </w:r>
          </w:p>
        </w:tc>
        <w:tc>
          <w:tcPr>
            <w:tcW w:w="1999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Світлий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Світлий</w:t>
            </w:r>
          </w:p>
        </w:tc>
        <w:tc>
          <w:tcPr>
            <w:tcW w:w="225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1000</w:t>
            </w:r>
          </w:p>
        </w:tc>
        <w:tc>
          <w:tcPr>
            <w:tcW w:w="169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300</w:t>
            </w:r>
          </w:p>
        </w:tc>
      </w:tr>
      <w:tr w:rsidR="000D6FEE" w:rsidRPr="00095089" w:rsidTr="00095089">
        <w:tc>
          <w:tcPr>
            <w:tcW w:w="1999" w:type="dxa"/>
            <w:vMerge w:val="restart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Високої точності</w:t>
            </w:r>
          </w:p>
        </w:tc>
        <w:tc>
          <w:tcPr>
            <w:tcW w:w="1779" w:type="dxa"/>
            <w:vMerge w:val="restart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Від 0,3 до 0,5</w:t>
            </w:r>
          </w:p>
        </w:tc>
        <w:tc>
          <w:tcPr>
            <w:tcW w:w="1700" w:type="dxa"/>
          </w:tcPr>
          <w:p w:rsidR="000D6FEE" w:rsidRPr="00095089" w:rsidRDefault="000D6FEE" w:rsidP="00095089">
            <w:pPr>
              <w:spacing w:before="120"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  <w:t>III</w:t>
            </w:r>
          </w:p>
        </w:tc>
        <w:tc>
          <w:tcPr>
            <w:tcW w:w="1715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а</w:t>
            </w:r>
          </w:p>
        </w:tc>
        <w:tc>
          <w:tcPr>
            <w:tcW w:w="1642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Малий</w:t>
            </w:r>
          </w:p>
        </w:tc>
        <w:tc>
          <w:tcPr>
            <w:tcW w:w="1999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Темний</w:t>
            </w:r>
          </w:p>
        </w:tc>
        <w:tc>
          <w:tcPr>
            <w:tcW w:w="225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2000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1500</w:t>
            </w:r>
          </w:p>
        </w:tc>
        <w:tc>
          <w:tcPr>
            <w:tcW w:w="169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500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400</w:t>
            </w:r>
          </w:p>
        </w:tc>
      </w:tr>
      <w:tr w:rsidR="000D6FEE" w:rsidRPr="00095089" w:rsidTr="00095089">
        <w:tc>
          <w:tcPr>
            <w:tcW w:w="1999" w:type="dxa"/>
            <w:vMerge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79" w:type="dxa"/>
            <w:vMerge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00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715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б</w:t>
            </w:r>
          </w:p>
        </w:tc>
        <w:tc>
          <w:tcPr>
            <w:tcW w:w="1642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Малий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Середній</w:t>
            </w:r>
          </w:p>
        </w:tc>
        <w:tc>
          <w:tcPr>
            <w:tcW w:w="1999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Світлий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Темний</w:t>
            </w:r>
          </w:p>
        </w:tc>
        <w:tc>
          <w:tcPr>
            <w:tcW w:w="225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1000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750</w:t>
            </w:r>
          </w:p>
        </w:tc>
        <w:tc>
          <w:tcPr>
            <w:tcW w:w="169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300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200</w:t>
            </w:r>
          </w:p>
        </w:tc>
      </w:tr>
      <w:tr w:rsidR="000D6FEE" w:rsidRPr="00095089" w:rsidTr="00095089">
        <w:tc>
          <w:tcPr>
            <w:tcW w:w="1999" w:type="dxa"/>
            <w:vMerge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79" w:type="dxa"/>
            <w:vMerge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00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715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</w:t>
            </w:r>
          </w:p>
        </w:tc>
        <w:tc>
          <w:tcPr>
            <w:tcW w:w="1642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Середній 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Великий</w:t>
            </w:r>
          </w:p>
        </w:tc>
        <w:tc>
          <w:tcPr>
            <w:tcW w:w="1999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Середній</w:t>
            </w:r>
          </w:p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Темний</w:t>
            </w:r>
          </w:p>
        </w:tc>
        <w:tc>
          <w:tcPr>
            <w:tcW w:w="225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600</w:t>
            </w:r>
          </w:p>
        </w:tc>
        <w:tc>
          <w:tcPr>
            <w:tcW w:w="169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200</w:t>
            </w:r>
          </w:p>
        </w:tc>
      </w:tr>
      <w:tr w:rsidR="000D6FEE" w:rsidRPr="00095089" w:rsidTr="00095089">
        <w:tc>
          <w:tcPr>
            <w:tcW w:w="1999" w:type="dxa"/>
            <w:vMerge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79" w:type="dxa"/>
            <w:vMerge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00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715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г</w:t>
            </w:r>
          </w:p>
        </w:tc>
        <w:tc>
          <w:tcPr>
            <w:tcW w:w="1642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Великий</w:t>
            </w:r>
          </w:p>
        </w:tc>
        <w:tc>
          <w:tcPr>
            <w:tcW w:w="1999" w:type="dxa"/>
            <w:vAlign w:val="center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Світлий</w:t>
            </w:r>
          </w:p>
        </w:tc>
        <w:tc>
          <w:tcPr>
            <w:tcW w:w="225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400</w:t>
            </w:r>
          </w:p>
        </w:tc>
        <w:tc>
          <w:tcPr>
            <w:tcW w:w="169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200</w:t>
            </w:r>
          </w:p>
        </w:tc>
      </w:tr>
    </w:tbl>
    <w:p w:rsidR="000D6FEE" w:rsidRPr="00D41AFB" w:rsidRDefault="000D6FEE" w:rsidP="00D41AFB">
      <w:pPr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  <w:lang w:val="ru-RU" w:eastAsia="ru-RU"/>
        </w:rPr>
      </w:pPr>
    </w:p>
    <w:p w:rsidR="000D6FEE" w:rsidRPr="00D41AFB" w:rsidRDefault="000D6FEE" w:rsidP="00D41AFB">
      <w:pPr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  <w:lang w:val="ru-RU" w:eastAsia="ru-RU"/>
        </w:rPr>
        <w:sectPr w:rsidR="000D6FEE" w:rsidRPr="00D41AFB" w:rsidSect="005D1AD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0D6FEE" w:rsidRPr="00495406" w:rsidRDefault="000D6FEE" w:rsidP="00495406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b/>
          <w:sz w:val="28"/>
          <w:szCs w:val="28"/>
          <w:lang w:val="ru-RU" w:eastAsia="ru-RU"/>
        </w:rPr>
      </w:pPr>
      <w:r w:rsidRPr="00495406">
        <w:rPr>
          <w:rFonts w:ascii="Times New Roman" w:eastAsia="Arial Unicode MS" w:hAnsi="Times New Roman"/>
          <w:b/>
          <w:sz w:val="28"/>
          <w:szCs w:val="28"/>
          <w:lang w:val="ru-RU" w:eastAsia="ru-RU"/>
        </w:rPr>
        <w:t>Виконання лабораторної роботи</w:t>
      </w:r>
    </w:p>
    <w:p w:rsidR="000D6FEE" w:rsidRPr="00495406" w:rsidRDefault="000D6FEE" w:rsidP="00495406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Робота з вимірювання штучної освітленості в приміщенні поділяється на три етапи.</w:t>
      </w:r>
    </w:p>
    <w:p w:rsidR="000D6FEE" w:rsidRPr="00495406" w:rsidRDefault="000D6FEE" w:rsidP="00495406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val="ru-RU"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Спочатку вимірюється освітленість в різних місцях приміщення. </w:t>
      </w:r>
    </w:p>
    <w:p w:rsidR="000D6FEE" w:rsidRPr="00495406" w:rsidRDefault="000D6FEE" w:rsidP="00495406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Попередньо необхідно нарисувати план приміщення, в якому проводилися виміри, і цифрами позначити на плані місця вимірювань. Результати вимірювань записують в таблицю 2.</w:t>
      </w:r>
    </w:p>
    <w:p w:rsidR="000D6FEE" w:rsidRPr="00495406" w:rsidRDefault="000D6FEE" w:rsidP="00495406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Під таблицею дається обґрунтування причин максимальної і мінімальної виміряних освітленостей і робиться висновок (використовуючи табл. </w:t>
      </w:r>
      <w:r w:rsidRPr="00495406">
        <w:rPr>
          <w:rFonts w:ascii="Times New Roman" w:eastAsia="Arial Unicode MS" w:hAnsi="Times New Roman"/>
          <w:sz w:val="28"/>
          <w:szCs w:val="28"/>
          <w:lang w:val="ru-RU" w:eastAsia="ru-RU"/>
        </w:rPr>
        <w:t>1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) про те, яка робота по точності може виконуватися на цих місцях.</w:t>
      </w:r>
    </w:p>
    <w:p w:rsidR="000D6FEE" w:rsidRPr="00495406" w:rsidRDefault="000D6FEE" w:rsidP="00495406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Таблиця </w:t>
      </w:r>
      <w:r w:rsidRPr="00495406">
        <w:rPr>
          <w:rFonts w:ascii="Times New Roman" w:eastAsia="Arial Unicode MS" w:hAnsi="Times New Roman"/>
          <w:sz w:val="28"/>
          <w:szCs w:val="28"/>
          <w:lang w:val="ru-RU" w:eastAsia="ru-RU"/>
        </w:rPr>
        <w:t>2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Результати вимірювань штучного освітлення робочих місць у приміщеннях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1"/>
        <w:gridCol w:w="515"/>
        <w:gridCol w:w="516"/>
        <w:gridCol w:w="516"/>
        <w:gridCol w:w="516"/>
        <w:gridCol w:w="516"/>
        <w:gridCol w:w="516"/>
        <w:gridCol w:w="516"/>
        <w:gridCol w:w="516"/>
        <w:gridCol w:w="516"/>
        <w:gridCol w:w="581"/>
        <w:gridCol w:w="581"/>
        <w:gridCol w:w="581"/>
        <w:gridCol w:w="581"/>
        <w:gridCol w:w="581"/>
      </w:tblGrid>
      <w:tr w:rsidR="000D6FEE" w:rsidRPr="00095089" w:rsidTr="00095089">
        <w:trPr>
          <w:jc w:val="center"/>
        </w:trPr>
        <w:tc>
          <w:tcPr>
            <w:tcW w:w="1811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№ точок</w:t>
            </w:r>
          </w:p>
        </w:tc>
        <w:tc>
          <w:tcPr>
            <w:tcW w:w="515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516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516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516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516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516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516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516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516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581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581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581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581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581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14</w:t>
            </w:r>
          </w:p>
        </w:tc>
      </w:tr>
      <w:tr w:rsidR="000D6FEE" w:rsidRPr="00095089" w:rsidTr="00095089">
        <w:trPr>
          <w:jc w:val="center"/>
        </w:trPr>
        <w:tc>
          <w:tcPr>
            <w:tcW w:w="1811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Освітленість, лк</w:t>
            </w:r>
          </w:p>
        </w:tc>
        <w:tc>
          <w:tcPr>
            <w:tcW w:w="515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16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16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16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16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16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16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16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16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81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81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81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81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81" w:type="dxa"/>
          </w:tcPr>
          <w:p w:rsidR="000D6FEE" w:rsidRPr="00095089" w:rsidRDefault="000D6FEE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0D6FEE" w:rsidRPr="00495406" w:rsidRDefault="000D6FEE" w:rsidP="00495406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Далі перевіряється вплив колірного забарвлення стін на освітленість робочого місця. Для цієї мети люксметр встановлюється на відстані 5 м від стіни. Змінюючи навісні щити або тканини, пофарбовані в різні кольори, вимірюють освітленість. Результати вимірювань записують в таблицю </w:t>
      </w:r>
      <w:r w:rsidRPr="00495406">
        <w:rPr>
          <w:rFonts w:ascii="Times New Roman" w:eastAsia="Arial Unicode MS" w:hAnsi="Times New Roman"/>
          <w:sz w:val="28"/>
          <w:szCs w:val="28"/>
          <w:lang w:val="ru-RU" w:eastAsia="ru-RU"/>
        </w:rPr>
        <w:t>3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.</w:t>
      </w:r>
    </w:p>
    <w:p w:rsidR="000D6FEE" w:rsidRPr="00D41AFB" w:rsidRDefault="000D6FEE" w:rsidP="003B1FFC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Таблиця </w:t>
      </w:r>
      <w:r>
        <w:rPr>
          <w:rFonts w:ascii="Times New Roman" w:eastAsia="Arial Unicode MS" w:hAnsi="Times New Roman"/>
          <w:sz w:val="28"/>
          <w:szCs w:val="28"/>
          <w:lang w:val="ru-RU" w:eastAsia="ru-RU"/>
        </w:rPr>
        <w:t>3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Результати вимірювань впливу колірного забарвлення стін на освітленість робочого місця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1440"/>
        <w:gridCol w:w="1620"/>
        <w:gridCol w:w="1620"/>
        <w:gridCol w:w="1620"/>
        <w:gridCol w:w="1466"/>
      </w:tblGrid>
      <w:tr w:rsidR="000D6FEE" w:rsidRPr="00095089" w:rsidTr="00095089">
        <w:tc>
          <w:tcPr>
            <w:tcW w:w="2088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Колір стін</w:t>
            </w:r>
          </w:p>
        </w:tc>
        <w:tc>
          <w:tcPr>
            <w:tcW w:w="1440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Чорний</w:t>
            </w:r>
          </w:p>
        </w:tc>
        <w:tc>
          <w:tcPr>
            <w:tcW w:w="1620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Синій</w:t>
            </w:r>
          </w:p>
        </w:tc>
        <w:tc>
          <w:tcPr>
            <w:tcW w:w="1620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Зелений</w:t>
            </w:r>
          </w:p>
        </w:tc>
        <w:tc>
          <w:tcPr>
            <w:tcW w:w="1620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Рожевий</w:t>
            </w:r>
          </w:p>
        </w:tc>
        <w:tc>
          <w:tcPr>
            <w:tcW w:w="146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Білий</w:t>
            </w:r>
          </w:p>
        </w:tc>
      </w:tr>
      <w:tr w:rsidR="000D6FEE" w:rsidRPr="00095089" w:rsidTr="00095089">
        <w:tc>
          <w:tcPr>
            <w:tcW w:w="2088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Освітленість, лк</w:t>
            </w:r>
          </w:p>
        </w:tc>
        <w:tc>
          <w:tcPr>
            <w:tcW w:w="1440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620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620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620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66" w:type="dxa"/>
          </w:tcPr>
          <w:p w:rsidR="000D6FEE" w:rsidRPr="00095089" w:rsidRDefault="000D6FEE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0D6FEE" w:rsidRPr="00D41AFB" w:rsidRDefault="000D6FEE" w:rsidP="003B1FFC">
      <w:pPr>
        <w:tabs>
          <w:tab w:val="left" w:pos="720"/>
        </w:tabs>
        <w:spacing w:before="120"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За даними таблиці </w:t>
      </w:r>
      <w:r>
        <w:rPr>
          <w:rFonts w:ascii="Times New Roman" w:eastAsia="Arial Unicode MS" w:hAnsi="Times New Roman"/>
          <w:sz w:val="28"/>
          <w:szCs w:val="28"/>
          <w:lang w:val="ru-RU" w:eastAsia="ru-RU"/>
        </w:rPr>
        <w:t>3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зробіть наступний висновок про вплив колірного забарвлення стін на освітленість робочого місця.</w:t>
      </w:r>
    </w:p>
    <w:p w:rsidR="000D6FEE" w:rsidRPr="00D41AFB" w:rsidRDefault="000D6FEE" w:rsidP="00D41AFB">
      <w:pPr>
        <w:tabs>
          <w:tab w:val="left" w:pos="720"/>
        </w:tabs>
        <w:spacing w:before="120" w:after="0" w:line="240" w:lineRule="auto"/>
        <w:ind w:firstLine="540"/>
        <w:jc w:val="both"/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  <w:t>Виконання перевірочного розрахунку штучного освітлення</w:t>
      </w:r>
    </w:p>
    <w:p w:rsidR="000D6FEE" w:rsidRPr="00D41AFB" w:rsidRDefault="000D6FEE" w:rsidP="00D41AFB">
      <w:pPr>
        <w:tabs>
          <w:tab w:val="left" w:pos="720"/>
        </w:tabs>
        <w:spacing w:before="120"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Перевірочний розрахунок, наявного в лабораторії загального штучного освітлення проводиться за наступною формулою:</w:t>
      </w:r>
    </w:p>
    <w:p w:rsidR="000D6FEE" w:rsidRPr="00D41AFB" w:rsidRDefault="000D6FEE" w:rsidP="00D41AFB">
      <w:pPr>
        <w:tabs>
          <w:tab w:val="left" w:pos="720"/>
        </w:tabs>
        <w:spacing w:before="120" w:after="120" w:line="240" w:lineRule="auto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position w:val="-24"/>
          <w:sz w:val="28"/>
          <w:szCs w:val="28"/>
          <w:lang w:val="ru-RU" w:eastAsia="ru-RU"/>
        </w:rPr>
        <w:object w:dxaOrig="135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31.5pt" o:ole="">
            <v:imagedata r:id="rId7" o:title=""/>
          </v:shape>
          <o:OLEObject Type="Embed" ProgID="Equation.DSMT4" ShapeID="_x0000_i1025" DrawAspect="Content" ObjectID="_1552497388" r:id="rId8"/>
        </w:object>
      </w:r>
    </w:p>
    <w:p w:rsidR="000D6FEE" w:rsidRPr="00D41AFB" w:rsidRDefault="000D6FEE" w:rsidP="00D41AFB">
      <w:pPr>
        <w:tabs>
          <w:tab w:val="left" w:pos="720"/>
        </w:tabs>
        <w:spacing w:before="120" w:after="0" w:line="240" w:lineRule="auto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де: </w:t>
      </w:r>
      <w:r w:rsidRPr="00D41AFB">
        <w:rPr>
          <w:rFonts w:ascii="Times New Roman" w:eastAsia="Arial Unicode MS" w:hAnsi="Times New Roman"/>
          <w:i/>
          <w:sz w:val="28"/>
          <w:szCs w:val="28"/>
          <w:lang w:eastAsia="ru-RU"/>
        </w:rPr>
        <w:t>Е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освітленість, лк; </w:t>
      </w:r>
      <w:r w:rsidRPr="00D41AFB">
        <w:rPr>
          <w:rFonts w:ascii="Times New Roman" w:eastAsia="Arial Unicode MS" w:hAnsi="Times New Roman"/>
          <w:i/>
          <w:sz w:val="28"/>
          <w:szCs w:val="28"/>
          <w:lang w:eastAsia="ru-RU"/>
        </w:rPr>
        <w:t>n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кількість світильників; </w:t>
      </w:r>
      <w:r w:rsidRPr="00D41AFB">
        <w:rPr>
          <w:rFonts w:ascii="Times New Roman" w:eastAsia="Arial Unicode MS" w:hAnsi="Times New Roman"/>
          <w:i/>
          <w:sz w:val="28"/>
          <w:szCs w:val="28"/>
          <w:lang w:eastAsia="ru-RU"/>
        </w:rPr>
        <w:t>F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світловий потік однієї лампи, лм; </w:t>
      </w:r>
      <w:r w:rsidRPr="00D41AFB">
        <w:rPr>
          <w:rFonts w:ascii="Times New Roman" w:eastAsia="Arial Unicode MS" w:hAnsi="Times New Roman"/>
          <w:i/>
          <w:sz w:val="28"/>
          <w:szCs w:val="28"/>
          <w:lang w:eastAsia="ru-RU"/>
        </w:rPr>
        <w:t>S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площа підлоги освітлювального приміщення, м</w:t>
      </w:r>
      <w:r w:rsidRPr="00D41AFB">
        <w:rPr>
          <w:rFonts w:ascii="Times New Roman" w:eastAsia="Arial Unicode MS" w:hAnsi="Times New Roman"/>
          <w:sz w:val="28"/>
          <w:szCs w:val="28"/>
          <w:vertAlign w:val="superscript"/>
          <w:lang w:eastAsia="ru-RU"/>
        </w:rPr>
        <w:t>2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; </w:t>
      </w:r>
      <w:r w:rsidRPr="00D41AFB">
        <w:rPr>
          <w:rFonts w:ascii="Times New Roman" w:eastAsia="Arial Unicode MS" w:hAnsi="Times New Roman"/>
          <w:i/>
          <w:sz w:val="28"/>
          <w:szCs w:val="28"/>
          <w:lang w:eastAsia="ru-RU"/>
        </w:rPr>
        <w:t>U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коефіцієнт використання фарбування стін стель; Середнє значення </w:t>
      </w:r>
      <w:r w:rsidRPr="00D41AFB">
        <w:rPr>
          <w:rFonts w:ascii="Times New Roman" w:eastAsia="Arial Unicode MS" w:hAnsi="Times New Roman"/>
          <w:i/>
          <w:sz w:val="28"/>
          <w:szCs w:val="28"/>
          <w:lang w:eastAsia="ru-RU"/>
        </w:rPr>
        <w:t>U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= 0,35÷0,5 в. о.; </w:t>
      </w:r>
      <w:r w:rsidRPr="00D41AFB">
        <w:rPr>
          <w:rFonts w:ascii="Times New Roman" w:eastAsia="Arial Unicode MS" w:hAnsi="Times New Roman"/>
          <w:i/>
          <w:sz w:val="28"/>
          <w:szCs w:val="28"/>
          <w:lang w:eastAsia="ru-RU"/>
        </w:rPr>
        <w:t>Z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поправочний коефіцієнт світильника (для стандартних світильників         Z = 0,75÷0,9); </w:t>
      </w:r>
      <w:r w:rsidRPr="00D41AFB">
        <w:rPr>
          <w:rFonts w:ascii="Times New Roman" w:eastAsia="Arial Unicode MS" w:hAnsi="Times New Roman"/>
          <w:i/>
          <w:sz w:val="28"/>
          <w:szCs w:val="28"/>
          <w:lang w:eastAsia="ru-RU"/>
        </w:rPr>
        <w:t>K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коефіцієнт запасу, що залежить від прозорості атмосфери (приймається таким, який дорівнює 1,2).</w:t>
      </w:r>
    </w:p>
    <w:p w:rsidR="000D6FEE" w:rsidRPr="00D41AFB" w:rsidRDefault="000D6FEE" w:rsidP="00D41AFB">
      <w:pPr>
        <w:tabs>
          <w:tab w:val="left" w:pos="720"/>
        </w:tabs>
        <w:spacing w:before="120"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У навчальних аудиторіях (№ 326, 327 та ін.) встановлені люмінесцентні лампи типу ЛД, потужністю 40 Вт, що випромінюють світловий потік 3120 лм.</w:t>
      </w:r>
    </w:p>
    <w:p w:rsidR="000D6FEE" w:rsidRPr="00D41AFB" w:rsidRDefault="000D6FEE" w:rsidP="00D41AFB">
      <w:pPr>
        <w:tabs>
          <w:tab w:val="left" w:pos="720"/>
        </w:tabs>
        <w:spacing w:before="120"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Результати перевірочного розрахунку порівняйте з експериментальними результатами і зробіть відповідний висновок.</w:t>
      </w:r>
    </w:p>
    <w:p w:rsidR="000D6FEE" w:rsidRPr="00D41AFB" w:rsidRDefault="000D6FEE" w:rsidP="00D41AFB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  <w:t>Вимоги з безпечного виконання лабораторної роботи</w:t>
      </w:r>
    </w:p>
    <w:p w:rsidR="000D6FEE" w:rsidRPr="00D41AFB" w:rsidRDefault="000D6FEE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При роботі з люксметром слід суворо дотримуватися правил його експлуатації.</w:t>
      </w:r>
    </w:p>
    <w:p w:rsidR="000D6FEE" w:rsidRPr="00D41AFB" w:rsidRDefault="000D6FEE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Основна небезпека в даній роботі 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небезпека ураження електричним струмом. Ураження електричним струмом можливе за наявності оголених проводів, несправних розеток, вилок. Тому електрична мережа і всі елементи цієї мережі повинні бути в справному стані, а працюючі повинні суворо дотримуватись заходів з електробезпеки.</w:t>
      </w:r>
    </w:p>
    <w:p w:rsidR="000D6FEE" w:rsidRPr="00D41AFB" w:rsidRDefault="000D6FEE" w:rsidP="00D41AFB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  <w:t>Контрольні питання для самостійної перевірки знань</w:t>
      </w:r>
    </w:p>
    <w:p w:rsidR="000D6FEE" w:rsidRPr="00D41AFB" w:rsidRDefault="000D6FEE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1. Охарактеризуйте основні світлові величини.</w:t>
      </w:r>
    </w:p>
    <w:p w:rsidR="000D6FEE" w:rsidRPr="00D41AFB" w:rsidRDefault="000D6FEE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val="ru-RU"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2. Які види виробничого освітлення ви знаєте</w:t>
      </w:r>
      <w:r w:rsidRPr="00D41AFB">
        <w:rPr>
          <w:rFonts w:ascii="Times New Roman" w:eastAsia="Arial Unicode MS" w:hAnsi="Times New Roman"/>
          <w:sz w:val="28"/>
          <w:szCs w:val="28"/>
          <w:lang w:val="ru-RU" w:eastAsia="ru-RU"/>
        </w:rPr>
        <w:t>?</w:t>
      </w:r>
    </w:p>
    <w:p w:rsidR="000D6FEE" w:rsidRPr="00D41AFB" w:rsidRDefault="000D6FEE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val="ru-RU"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3. Які різновиди має штучне освітлення</w:t>
      </w:r>
      <w:r w:rsidRPr="00D41AFB">
        <w:rPr>
          <w:rFonts w:ascii="Times New Roman" w:eastAsia="Arial Unicode MS" w:hAnsi="Times New Roman"/>
          <w:sz w:val="28"/>
          <w:szCs w:val="28"/>
          <w:lang w:val="ru-RU" w:eastAsia="ru-RU"/>
        </w:rPr>
        <w:t>?</w:t>
      </w:r>
    </w:p>
    <w:p w:rsidR="000D6FEE" w:rsidRPr="00D41AFB" w:rsidRDefault="000D6FEE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val="ru-RU"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4. Охарактеризуйте джерела штучного освітлення.</w:t>
      </w:r>
    </w:p>
    <w:p w:rsidR="000D6FEE" w:rsidRPr="00D41AFB" w:rsidRDefault="000D6FEE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val="ru-RU"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5. Як вимірюється освітленість у виробничому приміщенні</w:t>
      </w:r>
      <w:r w:rsidRPr="00D41AFB">
        <w:rPr>
          <w:rFonts w:ascii="Times New Roman" w:eastAsia="Arial Unicode MS" w:hAnsi="Times New Roman"/>
          <w:sz w:val="28"/>
          <w:szCs w:val="28"/>
          <w:lang w:val="ru-RU" w:eastAsia="ru-RU"/>
        </w:rPr>
        <w:t>?</w:t>
      </w:r>
    </w:p>
    <w:p w:rsidR="000D6FEE" w:rsidRPr="00D41AFB" w:rsidRDefault="000D6FEE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6. Дайте визначення терміна, одиниці виміру та формули світлового потоку.</w:t>
      </w:r>
    </w:p>
    <w:p w:rsidR="000D6FEE" w:rsidRPr="00D41AFB" w:rsidRDefault="000D6FEE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7. Дайте визначення терміна і одиниці вимірювань сили світла.</w:t>
      </w:r>
    </w:p>
    <w:p w:rsidR="000D6FEE" w:rsidRPr="00D41AFB" w:rsidRDefault="000D6FEE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8. Дайте визначення терміна, одиниці виміру і формулу освітленості.</w:t>
      </w:r>
    </w:p>
    <w:p w:rsidR="000D6FEE" w:rsidRPr="00D41AFB" w:rsidRDefault="000D6FEE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9. Дайте визначення коефіцієнта природної освітленості (КПО), викладіть методику його розрахунку.</w:t>
      </w:r>
    </w:p>
    <w:p w:rsidR="000D6FEE" w:rsidRPr="00D41AFB" w:rsidRDefault="000D6FEE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10. Розкажіть побудову і порядок роботи з люксметром Ю116.</w:t>
      </w:r>
    </w:p>
    <w:p w:rsidR="000D6FEE" w:rsidRPr="00D41AFB" w:rsidRDefault="000D6FEE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11. Поясніть порядок виконання роботи.</w:t>
      </w:r>
    </w:p>
    <w:p w:rsidR="000D6FEE" w:rsidRPr="00D41AFB" w:rsidRDefault="000D6FEE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12. Дайте аналіз результатів і графічних залежностей, отриманих в результаті виконаної вами лабораторної роботи.</w:t>
      </w:r>
    </w:p>
    <w:p w:rsidR="000D6FEE" w:rsidRPr="00D41AFB" w:rsidRDefault="000D6FEE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13. Викладіть коротко методики вимірювань та теоретичні відомості знання яких необхідне для виконання лабораторної роботи.</w:t>
      </w:r>
    </w:p>
    <w:p w:rsidR="000D6FEE" w:rsidRPr="00D41AFB" w:rsidRDefault="000D6FEE" w:rsidP="00D41AFB">
      <w:pPr>
        <w:jc w:val="both"/>
        <w:rPr>
          <w:rFonts w:ascii="Times New Roman" w:hAnsi="Times New Roman"/>
          <w:sz w:val="28"/>
          <w:szCs w:val="28"/>
        </w:rPr>
      </w:pPr>
    </w:p>
    <w:sectPr w:rsidR="000D6FEE" w:rsidRPr="00D41AFB" w:rsidSect="009165FD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FEE" w:rsidRDefault="000D6FEE">
      <w:pPr>
        <w:spacing w:after="0" w:line="240" w:lineRule="auto"/>
      </w:pPr>
      <w:r>
        <w:separator/>
      </w:r>
    </w:p>
  </w:endnote>
  <w:endnote w:type="continuationSeparator" w:id="0">
    <w:p w:rsidR="000D6FEE" w:rsidRDefault="000D6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FEE" w:rsidRPr="000B19B6" w:rsidRDefault="000D6FEE">
    <w:pPr>
      <w:pStyle w:val="Footer"/>
      <w:jc w:val="center"/>
      <w:rPr>
        <w:rFonts w:ascii="Times New Roman" w:hAnsi="Times New Roman"/>
        <w:sz w:val="28"/>
        <w:szCs w:val="28"/>
      </w:rPr>
    </w:pPr>
    <w:r w:rsidRPr="000B19B6">
      <w:rPr>
        <w:rFonts w:ascii="Times New Roman" w:hAnsi="Times New Roman"/>
        <w:sz w:val="28"/>
        <w:szCs w:val="28"/>
      </w:rPr>
      <w:fldChar w:fldCharType="begin"/>
    </w:r>
    <w:r w:rsidRPr="000B19B6">
      <w:rPr>
        <w:rFonts w:ascii="Times New Roman" w:hAnsi="Times New Roman"/>
        <w:sz w:val="28"/>
        <w:szCs w:val="28"/>
      </w:rPr>
      <w:instrText xml:space="preserve"> PAGE   \* MERGEFORMAT </w:instrText>
    </w:r>
    <w:r w:rsidRPr="000B19B6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1</w:t>
    </w:r>
    <w:r w:rsidRPr="000B19B6">
      <w:rPr>
        <w:rFonts w:ascii="Times New Roman" w:hAnsi="Times New Roman"/>
        <w:sz w:val="28"/>
        <w:szCs w:val="28"/>
      </w:rPr>
      <w:fldChar w:fldCharType="end"/>
    </w:r>
  </w:p>
  <w:p w:rsidR="000D6FEE" w:rsidRDefault="000D6F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FEE" w:rsidRDefault="000D6FEE">
      <w:pPr>
        <w:spacing w:after="0" w:line="240" w:lineRule="auto"/>
      </w:pPr>
      <w:r>
        <w:separator/>
      </w:r>
    </w:p>
  </w:footnote>
  <w:footnote w:type="continuationSeparator" w:id="0">
    <w:p w:rsidR="000D6FEE" w:rsidRDefault="000D6F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AFB"/>
    <w:rsid w:val="00095089"/>
    <w:rsid w:val="00095702"/>
    <w:rsid w:val="000B19B6"/>
    <w:rsid w:val="000D6FEE"/>
    <w:rsid w:val="001D6286"/>
    <w:rsid w:val="003B1FFC"/>
    <w:rsid w:val="00495406"/>
    <w:rsid w:val="004C2BA8"/>
    <w:rsid w:val="005156C8"/>
    <w:rsid w:val="005219D4"/>
    <w:rsid w:val="005901BB"/>
    <w:rsid w:val="0059753A"/>
    <w:rsid w:val="005D1AD2"/>
    <w:rsid w:val="008D171C"/>
    <w:rsid w:val="00912B89"/>
    <w:rsid w:val="009165FD"/>
    <w:rsid w:val="009344FC"/>
    <w:rsid w:val="00997E2E"/>
    <w:rsid w:val="00A77F90"/>
    <w:rsid w:val="00B36953"/>
    <w:rsid w:val="00BF624D"/>
    <w:rsid w:val="00D41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F90"/>
    <w:pPr>
      <w:spacing w:after="200" w:line="276" w:lineRule="auto"/>
    </w:pPr>
    <w:rPr>
      <w:lang w:val="uk-UA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5156C8"/>
    <w:pPr>
      <w:keepNext/>
      <w:spacing w:after="0" w:line="240" w:lineRule="auto"/>
      <w:outlineLvl w:val="6"/>
    </w:pPr>
    <w:rPr>
      <w:rFonts w:ascii="Times New Roman" w:hAnsi="Times New Roman"/>
      <w:sz w:val="24"/>
      <w:szCs w:val="20"/>
      <w:lang w:val="ru-RU"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5156C8"/>
    <w:pPr>
      <w:keepNext/>
      <w:spacing w:after="0" w:line="240" w:lineRule="auto"/>
      <w:jc w:val="center"/>
      <w:outlineLvl w:val="7"/>
    </w:pPr>
    <w:rPr>
      <w:rFonts w:ascii="Times New Roman" w:hAnsi="Times New Roman"/>
      <w:sz w:val="24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locked/>
    <w:rsid w:val="005156C8"/>
    <w:rPr>
      <w:rFonts w:cs="Times New Roman"/>
      <w:sz w:val="24"/>
      <w:lang w:val="ru-RU" w:eastAsia="ru-RU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156C8"/>
    <w:rPr>
      <w:rFonts w:cs="Times New Roman"/>
      <w:sz w:val="24"/>
      <w:lang w:val="ru-RU" w:eastAsia="ru-RU" w:bidi="ar-SA"/>
    </w:rPr>
  </w:style>
  <w:style w:type="paragraph" w:styleId="Footer">
    <w:name w:val="footer"/>
    <w:basedOn w:val="Normal"/>
    <w:link w:val="FooterChar"/>
    <w:uiPriority w:val="99"/>
    <w:semiHidden/>
    <w:rsid w:val="00D41A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41AFB"/>
    <w:rPr>
      <w:rFonts w:cs="Times New Roman"/>
    </w:rPr>
  </w:style>
  <w:style w:type="table" w:styleId="TableGrid">
    <w:name w:val="Table Grid"/>
    <w:basedOn w:val="TableNormal"/>
    <w:uiPriority w:val="99"/>
    <w:rsid w:val="00D41AF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7</Pages>
  <Words>2186</Words>
  <Characters>12464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Курс:</dc:title>
  <dc:subject/>
  <dc:creator>Taisa Marchuk</dc:creator>
  <cp:keywords/>
  <dc:description/>
  <cp:lastModifiedBy>ЛЕНА</cp:lastModifiedBy>
  <cp:revision>2</cp:revision>
  <cp:lastPrinted>2016-03-26T17:53:00Z</cp:lastPrinted>
  <dcterms:created xsi:type="dcterms:W3CDTF">2017-03-31T17:30:00Z</dcterms:created>
  <dcterms:modified xsi:type="dcterms:W3CDTF">2017-03-31T17:30:00Z</dcterms:modified>
</cp:coreProperties>
</file>