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Тема 26. Договір банківського вкладу (депозиту)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sz w:val="28"/>
          <w:szCs w:val="28"/>
          <w:lang w:val="uk-UA" w:eastAsia="ru-RU"/>
        </w:rPr>
      </w:pP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План</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i/>
          <w:sz w:val="28"/>
          <w:szCs w:val="28"/>
          <w:lang w:val="uk-UA" w:eastAsia="ru-RU"/>
        </w:rPr>
      </w:pPr>
      <w:r>
        <w:rPr>
          <w:rFonts w:ascii="Times New Roman" w:eastAsia="Times New Roman" w:hAnsi="Times New Roman"/>
          <w:b/>
          <w:i/>
          <w:sz w:val="28"/>
          <w:szCs w:val="28"/>
          <w:lang w:val="uk-UA" w:eastAsia="ru-RU"/>
        </w:rPr>
        <w:t>1.</w:t>
      </w:r>
      <w:r>
        <w:rPr>
          <w:rFonts w:ascii="Times New Roman" w:eastAsia="Times New Roman" w:hAnsi="Times New Roman"/>
          <w:b/>
          <w:i/>
          <w:sz w:val="28"/>
          <w:szCs w:val="28"/>
          <w:lang w:val="uk-UA" w:eastAsia="ru-RU"/>
        </w:rPr>
        <w:tab/>
        <w:t>Поняття, предмет та форма договору банківського вкладу (депозиту)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i/>
          <w:sz w:val="28"/>
          <w:szCs w:val="28"/>
          <w:lang w:val="uk-UA" w:eastAsia="ru-RU"/>
        </w:rPr>
      </w:pPr>
      <w:r>
        <w:rPr>
          <w:rFonts w:ascii="Times New Roman" w:eastAsia="Times New Roman" w:hAnsi="Times New Roman"/>
          <w:b/>
          <w:i/>
          <w:sz w:val="28"/>
          <w:szCs w:val="28"/>
          <w:lang w:val="uk-UA" w:eastAsia="ru-RU"/>
        </w:rPr>
        <w:t>2.</w:t>
      </w:r>
      <w:r>
        <w:rPr>
          <w:rFonts w:ascii="Times New Roman" w:eastAsia="Times New Roman" w:hAnsi="Times New Roman"/>
          <w:b/>
          <w:i/>
          <w:sz w:val="28"/>
          <w:szCs w:val="28"/>
          <w:lang w:val="uk-UA" w:eastAsia="ru-RU"/>
        </w:rPr>
        <w:tab/>
        <w:t>Сторони у договорі банківського вкладу (депозиту)</w:t>
      </w:r>
    </w:p>
    <w:p w:rsidR="00E17106" w:rsidRDefault="00E17106" w:rsidP="00E17106">
      <w:pPr>
        <w:widowControl w:val="0"/>
        <w:autoSpaceDE w:val="0"/>
        <w:autoSpaceDN w:val="0"/>
        <w:adjustRightInd w:val="0"/>
        <w:spacing w:after="0" w:line="240" w:lineRule="auto"/>
        <w:ind w:firstLine="708"/>
        <w:jc w:val="both"/>
        <w:rPr>
          <w:rFonts w:ascii="Times New Roman" w:eastAsia="Arial Unicode MS" w:hAnsi="Times New Roman"/>
          <w:b/>
          <w:color w:val="000000"/>
          <w:sz w:val="28"/>
          <w:szCs w:val="28"/>
          <w:lang w:val="uk-UA" w:eastAsia="uk-UA"/>
        </w:rPr>
      </w:pP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sz w:val="28"/>
          <w:szCs w:val="28"/>
          <w:lang w:val="uk-UA" w:eastAsia="ru-RU"/>
        </w:rPr>
      </w:pPr>
      <w:r>
        <w:rPr>
          <w:rFonts w:ascii="Times New Roman" w:eastAsia="Arial Unicode MS" w:hAnsi="Times New Roman"/>
          <w:b/>
          <w:color w:val="000000"/>
          <w:sz w:val="28"/>
          <w:szCs w:val="28"/>
          <w:lang w:val="uk-UA" w:eastAsia="uk-UA"/>
        </w:rPr>
        <w:t>Мета:</w:t>
      </w:r>
      <w:r>
        <w:rPr>
          <w:rFonts w:ascii="Times New Roman" w:eastAsia="Arial Unicode MS" w:hAnsi="Times New Roman"/>
          <w:color w:val="000000"/>
          <w:sz w:val="28"/>
          <w:szCs w:val="28"/>
          <w:lang w:val="uk-UA" w:eastAsia="uk-UA"/>
        </w:rPr>
        <w:t xml:space="preserve"> Охарактеризувати</w:t>
      </w:r>
      <w:r>
        <w:rPr>
          <w:rFonts w:ascii="Times New Roman" w:eastAsia="Times New Roman" w:hAnsi="Times New Roman"/>
          <w:b/>
          <w:sz w:val="28"/>
          <w:szCs w:val="28"/>
          <w:lang w:val="uk-UA" w:eastAsia="ru-RU"/>
        </w:rPr>
        <w:t xml:space="preserve"> </w:t>
      </w:r>
      <w:r>
        <w:rPr>
          <w:rFonts w:ascii="Times New Roman" w:eastAsia="Times New Roman" w:hAnsi="Times New Roman"/>
          <w:sz w:val="28"/>
          <w:szCs w:val="28"/>
          <w:lang w:val="uk-UA" w:eastAsia="ru-RU"/>
        </w:rPr>
        <w:t>договір банківського вкладу (депозиту)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i/>
          <w:sz w:val="28"/>
          <w:szCs w:val="28"/>
          <w:lang w:val="uk-UA" w:eastAsia="ru-RU"/>
        </w:rPr>
      </w:pPr>
    </w:p>
    <w:p w:rsidR="00E17106" w:rsidRDefault="00E17106" w:rsidP="00E17106">
      <w:pPr>
        <w:spacing w:after="0" w:line="240" w:lineRule="auto"/>
        <w:ind w:firstLine="567"/>
        <w:jc w:val="both"/>
        <w:rPr>
          <w:rFonts w:ascii="Times New Roman" w:eastAsia="Arial Unicode MS" w:hAnsi="Times New Roman"/>
          <w:b/>
          <w:bCs/>
          <w:sz w:val="28"/>
          <w:szCs w:val="28"/>
          <w:lang w:val="uk-UA" w:eastAsia="ru-RU"/>
        </w:rPr>
      </w:pPr>
      <w:r>
        <w:rPr>
          <w:rFonts w:ascii="Times New Roman" w:eastAsia="Arial Unicode MS" w:hAnsi="Times New Roman"/>
          <w:b/>
          <w:bCs/>
          <w:sz w:val="28"/>
          <w:szCs w:val="28"/>
          <w:lang w:val="uk-UA" w:eastAsia="ru-RU"/>
        </w:rPr>
        <w:t>Література:</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 xml:space="preserve">1. Мазур О.С. Цивільне право України: </w:t>
      </w:r>
      <w:proofErr w:type="spellStart"/>
      <w:r>
        <w:rPr>
          <w:rFonts w:ascii="Times New Roman" w:eastAsia="Arial Unicode MS" w:hAnsi="Times New Roman"/>
          <w:bCs/>
          <w:sz w:val="28"/>
          <w:szCs w:val="28"/>
          <w:lang w:val="uk-UA" w:eastAsia="ru-RU"/>
        </w:rPr>
        <w:t>Навч</w:t>
      </w:r>
      <w:proofErr w:type="spellEnd"/>
      <w:r>
        <w:rPr>
          <w:rFonts w:ascii="Times New Roman" w:eastAsia="Arial Unicode MS" w:hAnsi="Times New Roman"/>
          <w:bCs/>
          <w:sz w:val="28"/>
          <w:szCs w:val="28"/>
          <w:lang w:val="uk-UA" w:eastAsia="ru-RU"/>
        </w:rPr>
        <w:t xml:space="preserve">. </w:t>
      </w:r>
      <w:proofErr w:type="spellStart"/>
      <w:r>
        <w:rPr>
          <w:rFonts w:ascii="Times New Roman" w:eastAsia="Arial Unicode MS" w:hAnsi="Times New Roman"/>
          <w:bCs/>
          <w:sz w:val="28"/>
          <w:szCs w:val="28"/>
          <w:lang w:val="uk-UA" w:eastAsia="ru-RU"/>
        </w:rPr>
        <w:t>пос</w:t>
      </w:r>
      <w:proofErr w:type="spellEnd"/>
      <w:r>
        <w:rPr>
          <w:rFonts w:ascii="Times New Roman" w:eastAsia="Arial Unicode MS" w:hAnsi="Times New Roman"/>
          <w:bCs/>
          <w:sz w:val="28"/>
          <w:szCs w:val="28"/>
          <w:lang w:val="uk-UA" w:eastAsia="ru-RU"/>
        </w:rPr>
        <w:t>. — К.: Центр навчальної літератури, 2006. — 384 с.</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 xml:space="preserve">2. Цивільне право України: навчальний посібник / </w:t>
      </w:r>
      <w:proofErr w:type="spellStart"/>
      <w:r>
        <w:rPr>
          <w:rFonts w:ascii="Times New Roman" w:eastAsia="Arial Unicode MS" w:hAnsi="Times New Roman"/>
          <w:bCs/>
          <w:sz w:val="28"/>
          <w:szCs w:val="28"/>
          <w:lang w:val="uk-UA" w:eastAsia="ru-RU"/>
        </w:rPr>
        <w:t>кол</w:t>
      </w:r>
      <w:proofErr w:type="spellEnd"/>
      <w:r>
        <w:rPr>
          <w:rFonts w:ascii="Times New Roman" w:eastAsia="Arial Unicode MS" w:hAnsi="Times New Roman"/>
          <w:bCs/>
          <w:sz w:val="28"/>
          <w:szCs w:val="28"/>
          <w:lang w:val="uk-UA" w:eastAsia="ru-RU"/>
        </w:rPr>
        <w:t xml:space="preserve">. авторів; за ред. Г.Б. </w:t>
      </w:r>
      <w:proofErr w:type="spellStart"/>
      <w:r>
        <w:rPr>
          <w:rFonts w:ascii="Times New Roman" w:eastAsia="Arial Unicode MS" w:hAnsi="Times New Roman"/>
          <w:bCs/>
          <w:sz w:val="28"/>
          <w:szCs w:val="28"/>
          <w:lang w:val="uk-UA" w:eastAsia="ru-RU"/>
        </w:rPr>
        <w:t>Яновицької</w:t>
      </w:r>
      <w:proofErr w:type="spellEnd"/>
      <w:r>
        <w:rPr>
          <w:rFonts w:ascii="Times New Roman" w:eastAsia="Arial Unicode MS" w:hAnsi="Times New Roman"/>
          <w:bCs/>
          <w:sz w:val="28"/>
          <w:szCs w:val="28"/>
          <w:lang w:val="uk-UA" w:eastAsia="ru-RU"/>
        </w:rPr>
        <w:t>, В.О. Кучера. – Львів: Львівський державний університет внутрішніх справ, 2011. – 468 с.</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 xml:space="preserve">3. Цивільне право України. Особлива частина : підручник / Міністерство освіти і науки України, </w:t>
      </w:r>
      <w:proofErr w:type="spellStart"/>
      <w:r>
        <w:rPr>
          <w:rFonts w:ascii="Times New Roman" w:eastAsia="Arial Unicode MS" w:hAnsi="Times New Roman"/>
          <w:bCs/>
          <w:sz w:val="28"/>
          <w:szCs w:val="28"/>
          <w:lang w:val="uk-UA" w:eastAsia="ru-RU"/>
        </w:rPr>
        <w:t>Нац</w:t>
      </w:r>
      <w:proofErr w:type="spellEnd"/>
      <w:r>
        <w:rPr>
          <w:rFonts w:ascii="Times New Roman" w:eastAsia="Arial Unicode MS" w:hAnsi="Times New Roman"/>
          <w:bCs/>
          <w:sz w:val="28"/>
          <w:szCs w:val="28"/>
          <w:lang w:val="uk-UA" w:eastAsia="ru-RU"/>
        </w:rPr>
        <w:t xml:space="preserve">. авіаційний ун-т ; за </w:t>
      </w:r>
      <w:proofErr w:type="spellStart"/>
      <w:r>
        <w:rPr>
          <w:rFonts w:ascii="Times New Roman" w:eastAsia="Arial Unicode MS" w:hAnsi="Times New Roman"/>
          <w:bCs/>
          <w:sz w:val="28"/>
          <w:szCs w:val="28"/>
          <w:lang w:val="uk-UA" w:eastAsia="ru-RU"/>
        </w:rPr>
        <w:t>заг</w:t>
      </w:r>
      <w:proofErr w:type="spellEnd"/>
      <w:r>
        <w:rPr>
          <w:rFonts w:ascii="Times New Roman" w:eastAsia="Arial Unicode MS" w:hAnsi="Times New Roman"/>
          <w:bCs/>
          <w:sz w:val="28"/>
          <w:szCs w:val="28"/>
          <w:lang w:val="uk-UA" w:eastAsia="ru-RU"/>
        </w:rPr>
        <w:t xml:space="preserve">. ред. </w:t>
      </w:r>
      <w:proofErr w:type="spellStart"/>
      <w:r>
        <w:rPr>
          <w:rFonts w:ascii="Times New Roman" w:eastAsia="Arial Unicode MS" w:hAnsi="Times New Roman"/>
          <w:bCs/>
          <w:sz w:val="28"/>
          <w:szCs w:val="28"/>
          <w:lang w:val="uk-UA" w:eastAsia="ru-RU"/>
        </w:rPr>
        <w:t>д.ю.н</w:t>
      </w:r>
      <w:proofErr w:type="spellEnd"/>
      <w:r>
        <w:rPr>
          <w:rFonts w:ascii="Times New Roman" w:eastAsia="Arial Unicode MS" w:hAnsi="Times New Roman"/>
          <w:bCs/>
          <w:sz w:val="28"/>
          <w:szCs w:val="28"/>
          <w:lang w:val="uk-UA" w:eastAsia="ru-RU"/>
        </w:rPr>
        <w:t>., проф. Р. Б. Шишки. – К. : Ліра, 2015. – 1024 с.</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 xml:space="preserve">4. Практикум із цивільного права України / О. В. Артеменко, О. В. </w:t>
      </w:r>
      <w:proofErr w:type="spellStart"/>
      <w:r>
        <w:rPr>
          <w:rFonts w:ascii="Times New Roman" w:eastAsia="Arial Unicode MS" w:hAnsi="Times New Roman"/>
          <w:bCs/>
          <w:sz w:val="28"/>
          <w:szCs w:val="28"/>
          <w:lang w:val="uk-UA" w:eastAsia="ru-RU"/>
        </w:rPr>
        <w:t>Губанова</w:t>
      </w:r>
      <w:proofErr w:type="spellEnd"/>
      <w:r>
        <w:rPr>
          <w:rFonts w:ascii="Times New Roman" w:eastAsia="Arial Unicode MS" w:hAnsi="Times New Roman"/>
          <w:bCs/>
          <w:sz w:val="28"/>
          <w:szCs w:val="28"/>
          <w:lang w:val="uk-UA" w:eastAsia="ru-RU"/>
        </w:rPr>
        <w:t xml:space="preserve">, Л. А. Князька [та ін.] ; </w:t>
      </w:r>
      <w:proofErr w:type="spellStart"/>
      <w:r>
        <w:rPr>
          <w:rFonts w:ascii="Times New Roman" w:eastAsia="Arial Unicode MS" w:hAnsi="Times New Roman"/>
          <w:bCs/>
          <w:sz w:val="28"/>
          <w:szCs w:val="28"/>
          <w:lang w:val="uk-UA" w:eastAsia="ru-RU"/>
        </w:rPr>
        <w:t>Держ</w:t>
      </w:r>
      <w:proofErr w:type="spellEnd"/>
      <w:r>
        <w:rPr>
          <w:rFonts w:ascii="Times New Roman" w:eastAsia="Arial Unicode MS" w:hAnsi="Times New Roman"/>
          <w:bCs/>
          <w:sz w:val="28"/>
          <w:szCs w:val="28"/>
          <w:lang w:val="uk-UA" w:eastAsia="ru-RU"/>
        </w:rPr>
        <w:t xml:space="preserve">. фіскальна служба України, </w:t>
      </w:r>
      <w:proofErr w:type="spellStart"/>
      <w:r>
        <w:rPr>
          <w:rFonts w:ascii="Times New Roman" w:eastAsia="Arial Unicode MS" w:hAnsi="Times New Roman"/>
          <w:bCs/>
          <w:sz w:val="28"/>
          <w:szCs w:val="28"/>
          <w:lang w:val="uk-UA" w:eastAsia="ru-RU"/>
        </w:rPr>
        <w:t>Нац</w:t>
      </w:r>
      <w:proofErr w:type="spellEnd"/>
      <w:r>
        <w:rPr>
          <w:rFonts w:ascii="Times New Roman" w:eastAsia="Arial Unicode MS" w:hAnsi="Times New Roman"/>
          <w:bCs/>
          <w:sz w:val="28"/>
          <w:szCs w:val="28"/>
          <w:lang w:val="uk-UA" w:eastAsia="ru-RU"/>
        </w:rPr>
        <w:t xml:space="preserve">. </w:t>
      </w:r>
      <w:proofErr w:type="spellStart"/>
      <w:r>
        <w:rPr>
          <w:rFonts w:ascii="Times New Roman" w:eastAsia="Arial Unicode MS" w:hAnsi="Times New Roman"/>
          <w:bCs/>
          <w:sz w:val="28"/>
          <w:szCs w:val="28"/>
          <w:lang w:val="uk-UA" w:eastAsia="ru-RU"/>
        </w:rPr>
        <w:t>ун</w:t>
      </w:r>
      <w:proofErr w:type="spellEnd"/>
      <w:r>
        <w:rPr>
          <w:rFonts w:ascii="Times New Roman" w:eastAsia="Arial Unicode MS" w:hAnsi="Times New Roman"/>
          <w:bCs/>
          <w:sz w:val="28"/>
          <w:szCs w:val="28"/>
          <w:lang w:val="uk-UA" w:eastAsia="ru-RU"/>
        </w:rPr>
        <w:t xml:space="preserve">- т </w:t>
      </w:r>
      <w:proofErr w:type="spellStart"/>
      <w:r>
        <w:rPr>
          <w:rFonts w:ascii="Times New Roman" w:eastAsia="Arial Unicode MS" w:hAnsi="Times New Roman"/>
          <w:bCs/>
          <w:sz w:val="28"/>
          <w:szCs w:val="28"/>
          <w:lang w:val="uk-UA" w:eastAsia="ru-RU"/>
        </w:rPr>
        <w:t>держ</w:t>
      </w:r>
      <w:proofErr w:type="spellEnd"/>
      <w:r>
        <w:rPr>
          <w:rFonts w:ascii="Times New Roman" w:eastAsia="Arial Unicode MS" w:hAnsi="Times New Roman"/>
          <w:bCs/>
          <w:sz w:val="28"/>
          <w:szCs w:val="28"/>
          <w:lang w:val="uk-UA" w:eastAsia="ru-RU"/>
        </w:rPr>
        <w:t>. податкової служби України. – Полтава : Дивосвіт, 2015. – 204 с.</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5. Ткачук О. С. Проблеми реалізації судової влади у цивільному судочинстві : монографія / О. С. Ткачук. – Харків : Право, 2016. – 600 с.</w:t>
      </w:r>
    </w:p>
    <w:p w:rsidR="00E17106" w:rsidRDefault="00E17106" w:rsidP="00E17106">
      <w:pPr>
        <w:spacing w:after="0" w:line="240" w:lineRule="auto"/>
        <w:ind w:firstLine="567"/>
        <w:jc w:val="both"/>
        <w:rPr>
          <w:rFonts w:ascii="Times New Roman" w:eastAsia="Arial Unicode MS" w:hAnsi="Times New Roman"/>
          <w:bCs/>
          <w:sz w:val="28"/>
          <w:szCs w:val="28"/>
          <w:lang w:val="uk-UA" w:eastAsia="ru-RU"/>
        </w:rPr>
      </w:pPr>
      <w:r>
        <w:rPr>
          <w:rFonts w:ascii="Times New Roman" w:eastAsia="Arial Unicode MS" w:hAnsi="Times New Roman"/>
          <w:bCs/>
          <w:sz w:val="28"/>
          <w:szCs w:val="28"/>
          <w:lang w:val="uk-UA" w:eastAsia="ru-RU"/>
        </w:rPr>
        <w:t xml:space="preserve">6. </w:t>
      </w:r>
      <w:proofErr w:type="spellStart"/>
      <w:r>
        <w:rPr>
          <w:rFonts w:ascii="Times New Roman" w:eastAsia="Arial Unicode MS" w:hAnsi="Times New Roman"/>
          <w:bCs/>
          <w:sz w:val="28"/>
          <w:szCs w:val="28"/>
          <w:lang w:val="uk-UA" w:eastAsia="ru-RU"/>
        </w:rPr>
        <w:t>Зорислава</w:t>
      </w:r>
      <w:proofErr w:type="spellEnd"/>
      <w:r>
        <w:rPr>
          <w:rFonts w:ascii="Times New Roman" w:eastAsia="Arial Unicode MS" w:hAnsi="Times New Roman"/>
          <w:bCs/>
          <w:sz w:val="28"/>
          <w:szCs w:val="28"/>
          <w:lang w:val="uk-UA" w:eastAsia="ru-RU"/>
        </w:rPr>
        <w:t xml:space="preserve"> </w:t>
      </w:r>
      <w:proofErr w:type="spellStart"/>
      <w:r>
        <w:rPr>
          <w:rFonts w:ascii="Times New Roman" w:eastAsia="Arial Unicode MS" w:hAnsi="Times New Roman"/>
          <w:bCs/>
          <w:sz w:val="28"/>
          <w:szCs w:val="28"/>
          <w:lang w:val="uk-UA" w:eastAsia="ru-RU"/>
        </w:rPr>
        <w:t>Ромовська</w:t>
      </w:r>
      <w:proofErr w:type="spellEnd"/>
      <w:r>
        <w:rPr>
          <w:rFonts w:ascii="Times New Roman" w:eastAsia="Arial Unicode MS" w:hAnsi="Times New Roman"/>
          <w:bCs/>
          <w:sz w:val="28"/>
          <w:szCs w:val="28"/>
          <w:lang w:val="uk-UA" w:eastAsia="ru-RU"/>
        </w:rPr>
        <w:t xml:space="preserve"> - Українське цивільне право: Загальна частина. Академічний курс. Підручник, - К.: </w:t>
      </w:r>
      <w:proofErr w:type="spellStart"/>
      <w:r>
        <w:rPr>
          <w:rFonts w:ascii="Times New Roman" w:eastAsia="Arial Unicode MS" w:hAnsi="Times New Roman"/>
          <w:bCs/>
          <w:sz w:val="28"/>
          <w:szCs w:val="28"/>
          <w:lang w:val="uk-UA" w:eastAsia="ru-RU"/>
        </w:rPr>
        <w:t>Атіка</w:t>
      </w:r>
      <w:proofErr w:type="spellEnd"/>
      <w:r>
        <w:rPr>
          <w:rFonts w:ascii="Times New Roman" w:eastAsia="Arial Unicode MS" w:hAnsi="Times New Roman"/>
          <w:bCs/>
          <w:sz w:val="28"/>
          <w:szCs w:val="28"/>
          <w:lang w:val="uk-UA" w:eastAsia="ru-RU"/>
        </w:rPr>
        <w:t>, 2005. - 560 с.</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sz w:val="28"/>
          <w:szCs w:val="28"/>
          <w:lang w:val="uk-UA" w:eastAsia="ru-RU"/>
        </w:rPr>
      </w:pP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i/>
          <w:sz w:val="28"/>
          <w:szCs w:val="28"/>
          <w:lang w:eastAsia="ru-RU"/>
        </w:rPr>
      </w:pPr>
      <w:r>
        <w:rPr>
          <w:rFonts w:ascii="Times New Roman" w:eastAsia="Times New Roman" w:hAnsi="Times New Roman"/>
          <w:b/>
          <w:i/>
          <w:sz w:val="28"/>
          <w:szCs w:val="28"/>
          <w:lang w:val="uk-UA" w:eastAsia="ru-RU"/>
        </w:rPr>
        <w:t>Договір банківського вкладу (депозиту)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i/>
          <w:sz w:val="28"/>
          <w:szCs w:val="28"/>
          <w:lang w:eastAsia="ru-RU"/>
        </w:rPr>
      </w:pPr>
      <w:r>
        <w:rPr>
          <w:rFonts w:ascii="Times New Roman" w:eastAsia="Times New Roman" w:hAnsi="Times New Roman"/>
          <w:sz w:val="28"/>
          <w:szCs w:val="28"/>
          <w:lang w:val="uk-UA" w:eastAsia="ru-RU"/>
        </w:rPr>
        <w:t xml:space="preserve">За договором </w:t>
      </w:r>
      <w:r>
        <w:rPr>
          <w:rFonts w:ascii="Times New Roman" w:eastAsia="Times New Roman" w:hAnsi="Times New Roman"/>
          <w:b/>
          <w:i/>
          <w:sz w:val="28"/>
          <w:szCs w:val="28"/>
          <w:lang w:val="uk-UA" w:eastAsia="ru-RU"/>
        </w:rPr>
        <w:t>банківського вкладу (депозиту)</w:t>
      </w:r>
      <w:r>
        <w:rPr>
          <w:rFonts w:ascii="Times New Roman" w:eastAsia="Times New Roman" w:hAnsi="Times New Roman"/>
          <w:i/>
          <w:sz w:val="28"/>
          <w:szCs w:val="28"/>
          <w:lang w:val="uk-UA" w:eastAsia="ru-RU"/>
        </w:rPr>
        <w:t xml:space="preserve"> одна сто</w:t>
      </w:r>
      <w:r>
        <w:rPr>
          <w:rFonts w:ascii="Times New Roman" w:eastAsia="Times New Roman" w:hAnsi="Times New Roman"/>
          <w:i/>
          <w:sz w:val="28"/>
          <w:szCs w:val="28"/>
          <w:lang w:val="uk-UA" w:eastAsia="ru-RU"/>
        </w:rPr>
        <w:softHyphen/>
        <w:t>рона (банк), що прийняла від другої сторони (вкладника ) або для неї грошову суму (вклад), що надійшла, зобо</w:t>
      </w:r>
      <w:r>
        <w:rPr>
          <w:rFonts w:ascii="Times New Roman" w:eastAsia="Times New Roman" w:hAnsi="Times New Roman"/>
          <w:i/>
          <w:sz w:val="28"/>
          <w:szCs w:val="28"/>
          <w:lang w:val="uk-UA" w:eastAsia="ru-RU"/>
        </w:rPr>
        <w:softHyphen/>
        <w:t>в'язується виплачувати вкладникові таку суму та про</w:t>
      </w:r>
      <w:r>
        <w:rPr>
          <w:rFonts w:ascii="Times New Roman" w:eastAsia="Times New Roman" w:hAnsi="Times New Roman"/>
          <w:i/>
          <w:sz w:val="28"/>
          <w:szCs w:val="28"/>
          <w:lang w:val="uk-UA" w:eastAsia="ru-RU"/>
        </w:rPr>
        <w:softHyphen/>
        <w:t>центи на неї або дохід в іншій формі на умовах та в поряд</w:t>
      </w:r>
      <w:r>
        <w:rPr>
          <w:rFonts w:ascii="Times New Roman" w:eastAsia="Times New Roman" w:hAnsi="Times New Roman"/>
          <w:i/>
          <w:sz w:val="28"/>
          <w:szCs w:val="28"/>
          <w:lang w:val="uk-UA" w:eastAsia="ru-RU"/>
        </w:rPr>
        <w:softHyphen/>
        <w:t>ку, встановлених договором (ст. 1058 ЦК).</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 xml:space="preserve">Цивільно-правова характеристика договору: </w:t>
      </w:r>
      <w:r>
        <w:rPr>
          <w:rFonts w:ascii="Times New Roman" w:eastAsia="Times New Roman" w:hAnsi="Times New Roman"/>
          <w:i/>
          <w:sz w:val="28"/>
          <w:szCs w:val="28"/>
          <w:lang w:val="uk-UA" w:eastAsia="ru-RU"/>
        </w:rPr>
        <w:t>реальний, оплатний, односторонній</w:t>
      </w:r>
      <w:r>
        <w:rPr>
          <w:rFonts w:ascii="Times New Roman" w:eastAsia="Times New Roman" w:hAnsi="Times New Roman"/>
          <w:sz w:val="28"/>
          <w:szCs w:val="28"/>
          <w:lang w:val="uk-UA" w:eastAsia="ru-RU"/>
        </w:rPr>
        <w:t xml:space="preserve"> (оскільки вкладник не має обов'язків перед банком), як правило, є </w:t>
      </w:r>
      <w:r>
        <w:rPr>
          <w:rFonts w:ascii="Times New Roman" w:eastAsia="Times New Roman" w:hAnsi="Times New Roman"/>
          <w:i/>
          <w:sz w:val="28"/>
          <w:szCs w:val="28"/>
          <w:lang w:val="uk-UA" w:eastAsia="ru-RU"/>
        </w:rPr>
        <w:t>строковим,</w:t>
      </w:r>
      <w:r>
        <w:rPr>
          <w:rFonts w:ascii="Times New Roman" w:eastAsia="Times New Roman" w:hAnsi="Times New Roman"/>
          <w:sz w:val="28"/>
          <w:szCs w:val="28"/>
          <w:lang w:val="uk-UA" w:eastAsia="ru-RU"/>
        </w:rPr>
        <w:t xml:space="preserve"> але може укладатися і на </w:t>
      </w:r>
      <w:r>
        <w:rPr>
          <w:rFonts w:ascii="Times New Roman" w:eastAsia="Times New Roman" w:hAnsi="Times New Roman"/>
          <w:i/>
          <w:sz w:val="28"/>
          <w:szCs w:val="28"/>
          <w:lang w:val="uk-UA" w:eastAsia="ru-RU"/>
        </w:rPr>
        <w:t>невизначений строк;</w:t>
      </w:r>
      <w:r>
        <w:rPr>
          <w:rFonts w:ascii="Times New Roman" w:eastAsia="Times New Roman" w:hAnsi="Times New Roman"/>
          <w:sz w:val="28"/>
          <w:szCs w:val="28"/>
          <w:lang w:val="uk-UA" w:eastAsia="ru-RU"/>
        </w:rPr>
        <w:t xml:space="preserve"> якщо вкладни</w:t>
      </w:r>
      <w:r>
        <w:rPr>
          <w:rFonts w:ascii="Times New Roman" w:eastAsia="Times New Roman" w:hAnsi="Times New Roman"/>
          <w:sz w:val="28"/>
          <w:szCs w:val="28"/>
          <w:lang w:val="uk-UA" w:eastAsia="ru-RU"/>
        </w:rPr>
        <w:softHyphen/>
        <w:t xml:space="preserve">ком є фізична особа — </w:t>
      </w:r>
      <w:r>
        <w:rPr>
          <w:rFonts w:ascii="Times New Roman" w:eastAsia="Times New Roman" w:hAnsi="Times New Roman"/>
          <w:i/>
          <w:sz w:val="28"/>
          <w:szCs w:val="28"/>
          <w:lang w:val="uk-UA" w:eastAsia="ru-RU"/>
        </w:rPr>
        <w:t>публічний,</w:t>
      </w:r>
      <w:r>
        <w:rPr>
          <w:rFonts w:ascii="Times New Roman" w:eastAsia="Times New Roman" w:hAnsi="Times New Roman"/>
          <w:sz w:val="28"/>
          <w:szCs w:val="28"/>
          <w:lang w:val="uk-UA" w:eastAsia="ru-RU"/>
        </w:rPr>
        <w:t xml:space="preserve"> належить до договорів про надання послуг грошово-кредитного характеру.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Види банківських вкладів:</w:t>
      </w:r>
      <w:r>
        <w:rPr>
          <w:rFonts w:ascii="Times New Roman" w:eastAsia="Times New Roman" w:hAnsi="Times New Roman"/>
          <w:sz w:val="28"/>
          <w:szCs w:val="28"/>
          <w:lang w:val="uk-UA" w:eastAsia="ru-RU"/>
        </w:rPr>
        <w:t xml:space="preserve"> на вимогу (на умовах видачі вкладу на першу вимогу), строкові (на умовах повернення вкладу зі </w:t>
      </w:r>
      <w:proofErr w:type="spellStart"/>
      <w:r>
        <w:rPr>
          <w:rFonts w:ascii="Times New Roman" w:eastAsia="Times New Roman" w:hAnsi="Times New Roman"/>
          <w:sz w:val="28"/>
          <w:szCs w:val="28"/>
          <w:lang w:val="uk-UA" w:eastAsia="ru-RU"/>
        </w:rPr>
        <w:t>спливом</w:t>
      </w:r>
      <w:proofErr w:type="spellEnd"/>
      <w:r>
        <w:rPr>
          <w:rFonts w:ascii="Times New Roman" w:eastAsia="Times New Roman" w:hAnsi="Times New Roman"/>
          <w:sz w:val="28"/>
          <w:szCs w:val="28"/>
          <w:lang w:val="uk-UA" w:eastAsia="ru-RU"/>
        </w:rPr>
        <w:t xml:space="preserve"> установленого договором строку), стро</w:t>
      </w:r>
      <w:r>
        <w:rPr>
          <w:rFonts w:ascii="Times New Roman" w:eastAsia="Times New Roman" w:hAnsi="Times New Roman"/>
          <w:sz w:val="28"/>
          <w:szCs w:val="28"/>
          <w:lang w:val="uk-UA" w:eastAsia="ru-RU"/>
        </w:rPr>
        <w:softHyphen/>
        <w:t>кові з попереднім повідомленням, умовні, на поточні ра</w:t>
      </w:r>
      <w:r>
        <w:rPr>
          <w:rFonts w:ascii="Times New Roman" w:eastAsia="Times New Roman" w:hAnsi="Times New Roman"/>
          <w:sz w:val="28"/>
          <w:szCs w:val="28"/>
          <w:lang w:val="uk-UA" w:eastAsia="ru-RU"/>
        </w:rPr>
        <w:softHyphen/>
        <w:t>хунки, виграшні, іменні й на пред'явника, кодовані (за ними операції здійснюються з допомогою підпису-коду), пенсійні тощо.</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b/>
          <w:i/>
          <w:sz w:val="28"/>
          <w:szCs w:val="28"/>
          <w:lang w:eastAsia="ru-RU"/>
        </w:rPr>
      </w:pPr>
      <w:r>
        <w:rPr>
          <w:rFonts w:ascii="Times New Roman" w:eastAsia="Times New Roman" w:hAnsi="Times New Roman"/>
          <w:b/>
          <w:i/>
          <w:sz w:val="28"/>
          <w:szCs w:val="28"/>
          <w:lang w:val="uk-UA" w:eastAsia="ru-RU"/>
        </w:rPr>
        <w:t>Елементи договору: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val="uk-UA" w:eastAsia="ru-RU"/>
        </w:rPr>
      </w:pPr>
      <w:r>
        <w:rPr>
          <w:rFonts w:ascii="Times New Roman" w:eastAsia="Times New Roman" w:hAnsi="Times New Roman"/>
          <w:b/>
          <w:i/>
          <w:sz w:val="28"/>
          <w:szCs w:val="28"/>
          <w:lang w:val="uk-UA" w:eastAsia="ru-RU"/>
        </w:rPr>
        <w:t>Предмет</w:t>
      </w:r>
      <w:r>
        <w:rPr>
          <w:rFonts w:ascii="Times New Roman" w:eastAsia="Times New Roman" w:hAnsi="Times New Roman"/>
          <w:sz w:val="28"/>
          <w:szCs w:val="28"/>
          <w:lang w:val="uk-UA" w:eastAsia="ru-RU"/>
        </w:rPr>
        <w:t xml:space="preserve"> — фінансова послуга щодо залучення фінан</w:t>
      </w:r>
      <w:r>
        <w:rPr>
          <w:rFonts w:ascii="Times New Roman" w:eastAsia="Times New Roman" w:hAnsi="Times New Roman"/>
          <w:sz w:val="28"/>
          <w:szCs w:val="28"/>
          <w:lang w:val="uk-UA" w:eastAsia="ru-RU"/>
        </w:rPr>
        <w:softHyphen/>
        <w:t>сових активів вкладників із зобов'язанням щодо наступно</w:t>
      </w:r>
      <w:r>
        <w:rPr>
          <w:rFonts w:ascii="Times New Roman" w:eastAsia="Times New Roman" w:hAnsi="Times New Roman"/>
          <w:sz w:val="28"/>
          <w:szCs w:val="28"/>
          <w:lang w:val="uk-UA" w:eastAsia="ru-RU"/>
        </w:rPr>
        <w:softHyphen/>
        <w:t>го їх повернення. Безпосереднім об'єктом договору є сума вкладу та проценти на цю суму. Вклад (депозит) — це кошти в готівковій або у безготівковій формі, у валюті України або в іноземній валюті, які розміщені клієнтами на їх іменних рахунках у банку на договірних засадах на визначений строк зберігання або без зазначення такого строку і підля</w:t>
      </w:r>
      <w:r>
        <w:rPr>
          <w:rFonts w:ascii="Times New Roman" w:eastAsia="Times New Roman" w:hAnsi="Times New Roman"/>
          <w:sz w:val="28"/>
          <w:szCs w:val="28"/>
          <w:lang w:val="uk-UA" w:eastAsia="ru-RU"/>
        </w:rPr>
        <w:softHyphen/>
        <w:t xml:space="preserve">гають виплаті вкладнику відповідно до </w:t>
      </w:r>
      <w:r>
        <w:rPr>
          <w:rFonts w:ascii="Times New Roman" w:eastAsia="Times New Roman" w:hAnsi="Times New Roman"/>
          <w:sz w:val="28"/>
          <w:szCs w:val="28"/>
          <w:lang w:val="uk-UA" w:eastAsia="ru-RU"/>
        </w:rPr>
        <w:lastRenderedPageBreak/>
        <w:t>законодавства України та умов договору.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 xml:space="preserve">Сторонами </w:t>
      </w:r>
      <w:r>
        <w:rPr>
          <w:rFonts w:ascii="Times New Roman" w:eastAsia="Times New Roman" w:hAnsi="Times New Roman"/>
          <w:sz w:val="28"/>
          <w:szCs w:val="28"/>
          <w:lang w:val="uk-UA" w:eastAsia="ru-RU"/>
        </w:rPr>
        <w:t>є банк та вкладник (юридична або фізична особа).</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Істотною умовою договору є предмет, строк договору.</w:t>
      </w:r>
      <w:r>
        <w:rPr>
          <w:rFonts w:ascii="Times New Roman" w:eastAsia="Times New Roman" w:hAnsi="Times New Roman"/>
          <w:sz w:val="28"/>
          <w:szCs w:val="28"/>
          <w:lang w:val="uk-UA" w:eastAsia="ru-RU"/>
        </w:rPr>
        <w:t xml:space="preserve"> Ціна договору (сума процентів на суму вкладів) не є істот</w:t>
      </w:r>
      <w:r>
        <w:rPr>
          <w:rFonts w:ascii="Times New Roman" w:eastAsia="Times New Roman" w:hAnsi="Times New Roman"/>
          <w:sz w:val="28"/>
          <w:szCs w:val="28"/>
          <w:lang w:val="uk-UA" w:eastAsia="ru-RU"/>
        </w:rPr>
        <w:softHyphen/>
        <w:t>ною умовою договору, оскільки відповідно до ст. 1061 ЦК, якщо договором не встановлений розмір процентів, банк зобов'язаний виплачувати проценти у розмірі облікової ставки НБУ.</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Форма —</w:t>
      </w:r>
      <w:r>
        <w:rPr>
          <w:rFonts w:ascii="Times New Roman" w:eastAsia="Times New Roman" w:hAnsi="Times New Roman"/>
          <w:sz w:val="28"/>
          <w:szCs w:val="28"/>
          <w:lang w:val="uk-UA" w:eastAsia="ru-RU"/>
        </w:rPr>
        <w:t xml:space="preserve"> письмова (може бути підтверджена </w:t>
      </w:r>
      <w:proofErr w:type="spellStart"/>
      <w:r>
        <w:rPr>
          <w:rFonts w:ascii="Times New Roman" w:eastAsia="Times New Roman" w:hAnsi="Times New Roman"/>
          <w:sz w:val="28"/>
          <w:szCs w:val="28"/>
          <w:lang w:val="uk-UA" w:eastAsia="ru-RU"/>
        </w:rPr>
        <w:t>видачею</w:t>
      </w:r>
      <w:proofErr w:type="spellEnd"/>
      <w:r>
        <w:rPr>
          <w:rFonts w:ascii="Times New Roman" w:eastAsia="Times New Roman" w:hAnsi="Times New Roman"/>
          <w:sz w:val="28"/>
          <w:szCs w:val="28"/>
          <w:lang w:val="uk-UA" w:eastAsia="ru-RU"/>
        </w:rPr>
        <w:t xml:space="preserve"> ощадної книжки або сертифіката чи іншого документа). У разі недодержання письмової форми договору банків</w:t>
      </w:r>
      <w:r>
        <w:rPr>
          <w:rFonts w:ascii="Times New Roman" w:eastAsia="Times New Roman" w:hAnsi="Times New Roman"/>
          <w:sz w:val="28"/>
          <w:szCs w:val="28"/>
          <w:lang w:val="uk-UA" w:eastAsia="ru-RU"/>
        </w:rPr>
        <w:softHyphen/>
        <w:t>ського вкладу цей договір є нікчемним.</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Зміст зобов'язань. Обов'язки банку:</w:t>
      </w:r>
      <w:r>
        <w:rPr>
          <w:rFonts w:ascii="Times New Roman" w:eastAsia="Times New Roman" w:hAnsi="Times New Roman"/>
          <w:sz w:val="28"/>
          <w:szCs w:val="28"/>
          <w:lang w:val="uk-UA" w:eastAsia="ru-RU"/>
        </w:rPr>
        <w:t xml:space="preserve"> 1) незалежно від виду вкладу видати вклад або його частину на першу ви</w:t>
      </w:r>
      <w:r>
        <w:rPr>
          <w:rFonts w:ascii="Times New Roman" w:eastAsia="Times New Roman" w:hAnsi="Times New Roman"/>
          <w:sz w:val="28"/>
          <w:szCs w:val="28"/>
          <w:lang w:val="uk-UA" w:eastAsia="ru-RU"/>
        </w:rPr>
        <w:softHyphen/>
        <w:t>могу вкладника, крім вкладів, зроблених юридичними особами на інших умовах повернення, які встановлені до</w:t>
      </w:r>
      <w:r>
        <w:rPr>
          <w:rFonts w:ascii="Times New Roman" w:eastAsia="Times New Roman" w:hAnsi="Times New Roman"/>
          <w:sz w:val="28"/>
          <w:szCs w:val="28"/>
          <w:lang w:val="uk-UA" w:eastAsia="ru-RU"/>
        </w:rPr>
        <w:softHyphen/>
        <w:t>говором. У разі неможливості одержання грошових коштів вкладником відповідно до умов договору банківського вкладу, нормами Закону України «Про Фонд гарантування вкладів фізичних осіб» передбачено порядок відшкодування вкладів — Фонд гарантує кожному вкладнику учасника (тимчасового учасника) Фонду відшкодування коштів за його вкладами, включаючи відсотки, в розмірі вкладів на день настання недоступності вкладів, але не більше 150 000 гривень по вкладах у кожному із таких учасників; 2) ви</w:t>
      </w:r>
      <w:r>
        <w:rPr>
          <w:rFonts w:ascii="Times New Roman" w:eastAsia="Times New Roman" w:hAnsi="Times New Roman"/>
          <w:sz w:val="28"/>
          <w:szCs w:val="28"/>
          <w:lang w:val="uk-UA" w:eastAsia="ru-RU"/>
        </w:rPr>
        <w:softHyphen/>
        <w:t>платити вкладникові відсотки на суму внеску в розмірі, що обумовлений договором банківського вкладу, а якщо не встановлений розмір процентів — виплачувати проценти у розмірі облікової ставки НБУ; 3) забезпечувати повернення внесків фізичних осіб шляхом обов'язкового страхування, а в передбачених законом випадках і інших способах; 4) за</w:t>
      </w:r>
      <w:r>
        <w:rPr>
          <w:rFonts w:ascii="Times New Roman" w:eastAsia="Times New Roman" w:hAnsi="Times New Roman"/>
          <w:sz w:val="28"/>
          <w:szCs w:val="28"/>
          <w:lang w:val="uk-UA" w:eastAsia="ru-RU"/>
        </w:rPr>
        <w:softHyphen/>
        <w:t>рахувати на рахунок за банківським вкладом грошові ко</w:t>
      </w:r>
      <w:r>
        <w:rPr>
          <w:rFonts w:ascii="Times New Roman" w:eastAsia="Times New Roman" w:hAnsi="Times New Roman"/>
          <w:sz w:val="28"/>
          <w:szCs w:val="28"/>
          <w:lang w:val="uk-UA" w:eastAsia="ru-RU"/>
        </w:rPr>
        <w:softHyphen/>
        <w:t>шти, які надійшли до банку на ім'я вкладника від іншої особи, якщо договором банківського вкладу не передбачено інше. При цьому вважається, що вкладник погодився на одержання грошових коштів від іншої особи, надавши їй необхідні дані про рахунок за вкладом.</w:t>
      </w:r>
    </w:p>
    <w:p w:rsidR="00E17106" w:rsidRDefault="00E17106" w:rsidP="00E17106">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i/>
          <w:sz w:val="28"/>
          <w:szCs w:val="28"/>
          <w:lang w:val="uk-UA" w:eastAsia="ru-RU"/>
        </w:rPr>
        <w:t>Припинення договору</w:t>
      </w:r>
      <w:r>
        <w:rPr>
          <w:rFonts w:ascii="Times New Roman" w:eastAsia="Times New Roman" w:hAnsi="Times New Roman"/>
          <w:sz w:val="28"/>
          <w:szCs w:val="28"/>
          <w:lang w:val="uk-UA" w:eastAsia="ru-RU"/>
        </w:rPr>
        <w:t xml:space="preserve"> — за загальними підставами при</w:t>
      </w:r>
      <w:r>
        <w:rPr>
          <w:rFonts w:ascii="Times New Roman" w:eastAsia="Times New Roman" w:hAnsi="Times New Roman"/>
          <w:sz w:val="28"/>
          <w:szCs w:val="28"/>
          <w:lang w:val="uk-UA" w:eastAsia="ru-RU"/>
        </w:rPr>
        <w:softHyphen/>
        <w:t>пинення договорів.</w:t>
      </w:r>
    </w:p>
    <w:p w:rsidR="00E17106" w:rsidRDefault="00E17106" w:rsidP="00E17106">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p>
    <w:p w:rsidR="00E17106" w:rsidRDefault="00E17106" w:rsidP="00E17106">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E17106" w:rsidRDefault="00E17106" w:rsidP="00E17106">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E17106" w:rsidRDefault="00E17106" w:rsidP="00E17106"/>
    <w:p w:rsidR="00ED565A" w:rsidRPr="00E17106" w:rsidRDefault="00ED565A" w:rsidP="00E17106">
      <w:bookmarkStart w:id="0" w:name="_GoBack"/>
      <w:bookmarkEnd w:id="0"/>
    </w:p>
    <w:sectPr w:rsidR="00ED565A" w:rsidRPr="00E17106" w:rsidSect="006B75B1">
      <w:pgSz w:w="11906" w:h="16838"/>
      <w:pgMar w:top="709" w:right="850"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B"/>
    <w:rsid w:val="00AA44B4"/>
    <w:rsid w:val="00AC00D3"/>
    <w:rsid w:val="00D02B1B"/>
    <w:rsid w:val="00E17106"/>
    <w:rsid w:val="00ED565A"/>
    <w:rsid w:val="00F41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53EEA-05C2-4D1F-B98F-6AC95867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B25"/>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4019</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2020-03-25T11:12:00Z</dcterms:created>
  <dcterms:modified xsi:type="dcterms:W3CDTF">2020-03-25T11:25:00Z</dcterms:modified>
</cp:coreProperties>
</file>