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0AE" w:rsidRPr="00FC240F" w:rsidRDefault="008820AE" w:rsidP="008820AE">
      <w:pPr>
        <w:jc w:val="center"/>
        <w:rPr>
          <w:b/>
          <w:sz w:val="32"/>
          <w:szCs w:val="32"/>
          <w:lang w:val="uk-UA"/>
        </w:rPr>
      </w:pPr>
      <w:r w:rsidRPr="00FC240F">
        <w:rPr>
          <w:b/>
          <w:sz w:val="32"/>
          <w:szCs w:val="32"/>
          <w:lang w:val="uk-UA"/>
        </w:rPr>
        <w:t xml:space="preserve">Перелік екзаменаційних питань по предмету </w:t>
      </w:r>
      <w:proofErr w:type="spellStart"/>
      <w:r w:rsidRPr="00FC240F">
        <w:rPr>
          <w:b/>
          <w:sz w:val="32"/>
          <w:szCs w:val="32"/>
          <w:lang w:val="uk-UA"/>
        </w:rPr>
        <w:t>„Звітність</w:t>
      </w:r>
      <w:proofErr w:type="spellEnd"/>
      <w:r w:rsidRPr="00FC240F">
        <w:rPr>
          <w:b/>
          <w:sz w:val="32"/>
          <w:szCs w:val="32"/>
          <w:lang w:val="uk-UA"/>
        </w:rPr>
        <w:t xml:space="preserve"> підприємств”</w:t>
      </w:r>
    </w:p>
    <w:p w:rsidR="008820AE" w:rsidRPr="00FC240F" w:rsidRDefault="008820AE" w:rsidP="008820AE">
      <w:pPr>
        <w:rPr>
          <w:sz w:val="32"/>
          <w:szCs w:val="32"/>
        </w:rPr>
      </w:pPr>
    </w:p>
    <w:p w:rsidR="008820AE" w:rsidRPr="00EC3A45" w:rsidRDefault="008820AE" w:rsidP="008820AE"/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  <w:lang w:val="en-US"/>
        </w:rPr>
      </w:pPr>
      <w:r w:rsidRPr="00A14464">
        <w:rPr>
          <w:sz w:val="28"/>
          <w:szCs w:val="28"/>
          <w:lang w:val="uk-UA"/>
        </w:rPr>
        <w:t>Мета та склад звітності</w:t>
      </w:r>
    </w:p>
    <w:p w:rsidR="008820AE" w:rsidRPr="00C45CCF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 xml:space="preserve">Підготовка облікових даних для складання звітності </w:t>
      </w:r>
    </w:p>
    <w:p w:rsidR="008820AE" w:rsidRPr="005A523D" w:rsidRDefault="008820AE" w:rsidP="008820AE">
      <w:pPr>
        <w:numPr>
          <w:ilvl w:val="0"/>
          <w:numId w:val="1"/>
        </w:numPr>
        <w:ind w:hanging="540"/>
        <w:rPr>
          <w:sz w:val="28"/>
          <w:szCs w:val="28"/>
          <w:lang w:val="en-US"/>
        </w:rPr>
      </w:pPr>
      <w:r w:rsidRPr="00A14464">
        <w:rPr>
          <w:sz w:val="28"/>
          <w:szCs w:val="28"/>
          <w:lang w:val="uk-UA"/>
        </w:rPr>
        <w:t>Якісні характеристики фінансової звітності</w:t>
      </w:r>
    </w:p>
    <w:p w:rsidR="008820AE" w:rsidRPr="005A523D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>
        <w:rPr>
          <w:sz w:val="28"/>
          <w:szCs w:val="28"/>
          <w:lang w:val="uk-UA"/>
        </w:rPr>
        <w:t>Принципи підготовки фінансової звітності та їх характеристика</w:t>
      </w:r>
    </w:p>
    <w:p w:rsidR="008820AE" w:rsidRPr="00EC3A45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Інвестиції підприємства, їх види, особливості відображення у звітності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Характеристика статей власного капіталу і п</w:t>
      </w:r>
      <w:r w:rsidR="007E2C7F">
        <w:rPr>
          <w:sz w:val="28"/>
          <w:szCs w:val="28"/>
          <w:lang w:val="uk-UA"/>
        </w:rPr>
        <w:t>орядок їх відображення в Звіті про фінансовий стан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Порядок складання і оприлюднення звітності підприємств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Методика і послідовність складання Звіту про власний капітал</w:t>
      </w:r>
    </w:p>
    <w:p w:rsidR="008820AE" w:rsidRPr="007E2C7F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 xml:space="preserve">Призначення </w:t>
      </w:r>
      <w:r w:rsidR="007E2C7F">
        <w:rPr>
          <w:sz w:val="28"/>
          <w:szCs w:val="28"/>
          <w:lang w:val="uk-UA"/>
        </w:rPr>
        <w:t>Звіту про фінансовий стан</w:t>
      </w:r>
      <w:r w:rsidRPr="00A14464">
        <w:rPr>
          <w:sz w:val="28"/>
          <w:szCs w:val="28"/>
          <w:lang w:val="uk-UA"/>
        </w:rPr>
        <w:t xml:space="preserve"> та його структура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Загальні положення і характеристика ПСБО 21 і 22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 xml:space="preserve">Актив </w:t>
      </w:r>
      <w:r w:rsidR="007E2C7F">
        <w:rPr>
          <w:sz w:val="28"/>
          <w:szCs w:val="28"/>
          <w:lang w:val="uk-UA"/>
        </w:rPr>
        <w:t>Звіту про фінансовий стан (Балансу)</w:t>
      </w:r>
      <w:r w:rsidRPr="00A14464">
        <w:rPr>
          <w:sz w:val="28"/>
          <w:szCs w:val="28"/>
          <w:lang w:val="uk-UA"/>
        </w:rPr>
        <w:t>. Визначення, оцінка і класифікація статей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Зміни в обліковій політиці та їх вплив на фінансову звітність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Особл</w:t>
      </w:r>
      <w:r w:rsidR="00C332A4">
        <w:rPr>
          <w:sz w:val="28"/>
          <w:szCs w:val="28"/>
          <w:lang w:val="uk-UA"/>
        </w:rPr>
        <w:t>ивості оцінки і відображення в Б</w:t>
      </w:r>
      <w:r w:rsidRPr="00A14464">
        <w:rPr>
          <w:sz w:val="28"/>
          <w:szCs w:val="28"/>
          <w:lang w:val="uk-UA"/>
        </w:rPr>
        <w:t>алансі необоротних активів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Склад, оцінка та відображення в  Балансі оборотних активів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 xml:space="preserve">Характеристика пасиву </w:t>
      </w:r>
      <w:r w:rsidR="00C332A4">
        <w:rPr>
          <w:sz w:val="28"/>
          <w:szCs w:val="28"/>
          <w:lang w:val="uk-UA"/>
        </w:rPr>
        <w:t>Звіт</w:t>
      </w:r>
      <w:r w:rsidRPr="00A14464">
        <w:rPr>
          <w:sz w:val="28"/>
          <w:szCs w:val="28"/>
          <w:lang w:val="uk-UA"/>
        </w:rPr>
        <w:t>у</w:t>
      </w:r>
      <w:r w:rsidR="00C332A4">
        <w:rPr>
          <w:sz w:val="28"/>
          <w:szCs w:val="28"/>
          <w:lang w:val="uk-UA"/>
        </w:rPr>
        <w:t xml:space="preserve"> про фінансовий стан 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 xml:space="preserve">Події після дати складання Балансу. </w:t>
      </w:r>
      <w:r>
        <w:rPr>
          <w:sz w:val="28"/>
          <w:szCs w:val="28"/>
          <w:lang w:val="uk-UA"/>
        </w:rPr>
        <w:t xml:space="preserve">Характеристика </w:t>
      </w:r>
      <w:r w:rsidRPr="00A14464">
        <w:rPr>
          <w:sz w:val="28"/>
          <w:szCs w:val="28"/>
          <w:lang w:val="uk-UA"/>
        </w:rPr>
        <w:t>ПСБО 6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Визначення, оцінка та класифікація зобов’язань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Відмінно</w:t>
      </w:r>
      <w:r>
        <w:rPr>
          <w:sz w:val="28"/>
          <w:szCs w:val="28"/>
          <w:lang w:val="uk-UA"/>
        </w:rPr>
        <w:t xml:space="preserve">сті структури і змісту Балансу </w:t>
      </w:r>
      <w:r w:rsidRPr="00A14464">
        <w:rPr>
          <w:sz w:val="28"/>
          <w:szCs w:val="28"/>
          <w:lang w:val="uk-UA"/>
        </w:rPr>
        <w:t xml:space="preserve"> суб’єкта малого підприємництва від звичайного Балансу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Структура і зміст фінансового звіту суб’єкта малого підприємництва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Формування фінансових результатів у звітності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Довгострокові та поточні зобов’язання та їх представлення у Балансі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Складники власного капіталу</w:t>
      </w:r>
      <w:r>
        <w:rPr>
          <w:sz w:val="28"/>
          <w:szCs w:val="28"/>
          <w:lang w:val="uk-UA"/>
        </w:rPr>
        <w:t xml:space="preserve"> та їх відображення у звітності </w:t>
      </w:r>
    </w:p>
    <w:p w:rsidR="008820AE" w:rsidRPr="00900E48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Характеристика ПСБО 25</w:t>
      </w:r>
      <w:r>
        <w:rPr>
          <w:sz w:val="28"/>
          <w:szCs w:val="28"/>
          <w:lang w:val="uk-UA"/>
        </w:rPr>
        <w:t xml:space="preserve"> та склад звітності СМП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Визнання та оцінка доходів і витрат у Звіті про фінансові результати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Склад суб’єктів малого підприємництва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 xml:space="preserve">Характеристика першого розділу Звіту про </w:t>
      </w:r>
      <w:r w:rsidR="00C332A4">
        <w:rPr>
          <w:sz w:val="28"/>
          <w:szCs w:val="28"/>
          <w:lang w:val="uk-UA"/>
        </w:rPr>
        <w:t>сукупний дохід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Визначення, визнання, оцінка і функції власного капіталу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 xml:space="preserve">Класифікація доходів і витрат у Звіті про </w:t>
      </w:r>
      <w:r w:rsidR="00C332A4">
        <w:rPr>
          <w:sz w:val="28"/>
          <w:szCs w:val="28"/>
          <w:lang w:val="uk-UA"/>
        </w:rPr>
        <w:t>сукупний дохід</w:t>
      </w:r>
    </w:p>
    <w:p w:rsidR="008820AE" w:rsidRPr="008E26E3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Порядок відображення інформації у першому розділі Звіту про рух грошових коштів</w:t>
      </w:r>
      <w:r w:rsidRPr="008E26E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прямим методом</w:t>
      </w:r>
    </w:p>
    <w:p w:rsidR="008820AE" w:rsidRPr="005A523D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Порядок відображення інформації у першому розділі Звіту про рух грошових коштів</w:t>
      </w:r>
      <w:r w:rsidRPr="008E26E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непрямим методом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>
        <w:rPr>
          <w:sz w:val="28"/>
          <w:szCs w:val="28"/>
          <w:lang w:val="uk-UA"/>
        </w:rPr>
        <w:t>Сутність та особливості визнання і відображення у звітності сукупного доходу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Методика перевірки правильності формування звітних даних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Порядок відображення інформації  в Декларації про ПДВ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Визнання економічних елементів операційних витрат</w:t>
      </w:r>
    </w:p>
    <w:p w:rsidR="008820AE" w:rsidRPr="00EC3A45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lastRenderedPageBreak/>
        <w:t>Виправлення помилок  і зміни у фінансових звітах</w:t>
      </w:r>
    </w:p>
    <w:p w:rsidR="008820AE" w:rsidRPr="005F237C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Відмінності структури і змісту Звіту про фінансові результати за формою №2</w:t>
      </w:r>
      <w:r>
        <w:rPr>
          <w:sz w:val="28"/>
          <w:szCs w:val="28"/>
          <w:lang w:val="uk-UA"/>
        </w:rPr>
        <w:t xml:space="preserve">-м, № 2-мс </w:t>
      </w:r>
      <w:r w:rsidRPr="00A14464">
        <w:rPr>
          <w:sz w:val="28"/>
          <w:szCs w:val="28"/>
          <w:lang w:val="uk-UA"/>
        </w:rPr>
        <w:t xml:space="preserve"> від звичайного звіту</w:t>
      </w:r>
    </w:p>
    <w:p w:rsidR="008820AE" w:rsidRPr="005F237C" w:rsidRDefault="008820AE" w:rsidP="008820AE">
      <w:pPr>
        <w:numPr>
          <w:ilvl w:val="0"/>
          <w:numId w:val="1"/>
        </w:numPr>
        <w:ind w:hanging="540"/>
        <w:rPr>
          <w:sz w:val="28"/>
          <w:szCs w:val="28"/>
        </w:rPr>
      </w:pPr>
      <w:r w:rsidRPr="00A14464">
        <w:rPr>
          <w:sz w:val="28"/>
          <w:szCs w:val="28"/>
          <w:lang w:val="uk-UA"/>
        </w:rPr>
        <w:t>Розрахунок прибутку на акцію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  <w:lang w:val="uk-UA"/>
        </w:rPr>
      </w:pPr>
      <w:r w:rsidRPr="00A14464">
        <w:rPr>
          <w:sz w:val="28"/>
          <w:szCs w:val="28"/>
          <w:lang w:val="uk-UA"/>
        </w:rPr>
        <w:t>Склад податкової звітності, періодичність подання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  <w:lang w:val="uk-UA"/>
        </w:rPr>
      </w:pPr>
      <w:r w:rsidRPr="00A14464">
        <w:rPr>
          <w:sz w:val="28"/>
          <w:szCs w:val="28"/>
          <w:lang w:val="uk-UA"/>
        </w:rPr>
        <w:t>Структура, зміст та порядок складання Декларації по ПДВ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  <w:lang w:val="uk-UA"/>
        </w:rPr>
      </w:pPr>
      <w:r w:rsidRPr="00A14464">
        <w:rPr>
          <w:sz w:val="28"/>
          <w:szCs w:val="28"/>
          <w:lang w:val="uk-UA"/>
        </w:rPr>
        <w:t>Склад поточних зобов’язань та їх подання в Балансі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  <w:lang w:val="uk-UA"/>
        </w:rPr>
      </w:pPr>
      <w:r w:rsidRPr="00A14464">
        <w:rPr>
          <w:sz w:val="28"/>
          <w:szCs w:val="28"/>
          <w:lang w:val="uk-UA"/>
        </w:rPr>
        <w:t>Звітність по єдиному податку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  <w:lang w:val="uk-UA"/>
        </w:rPr>
      </w:pPr>
      <w:r w:rsidRPr="00A14464">
        <w:rPr>
          <w:sz w:val="28"/>
          <w:szCs w:val="28"/>
          <w:lang w:val="uk-UA"/>
        </w:rPr>
        <w:t>Мета та склад статистичної звітності підприємств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  <w:lang w:val="uk-UA"/>
        </w:rPr>
      </w:pPr>
      <w:r w:rsidRPr="00A14464">
        <w:rPr>
          <w:sz w:val="28"/>
          <w:szCs w:val="28"/>
          <w:lang w:val="uk-UA"/>
        </w:rPr>
        <w:t xml:space="preserve">Контрактивні  та </w:t>
      </w:r>
      <w:proofErr w:type="spellStart"/>
      <w:r w:rsidRPr="00A14464">
        <w:rPr>
          <w:sz w:val="28"/>
          <w:szCs w:val="28"/>
          <w:lang w:val="uk-UA"/>
        </w:rPr>
        <w:t>контрпасивні</w:t>
      </w:r>
      <w:proofErr w:type="spellEnd"/>
      <w:r w:rsidRPr="00A14464">
        <w:rPr>
          <w:sz w:val="28"/>
          <w:szCs w:val="28"/>
          <w:lang w:val="uk-UA"/>
        </w:rPr>
        <w:t xml:space="preserve"> рахунки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  <w:lang w:val="uk-UA"/>
        </w:rPr>
      </w:pPr>
      <w:r w:rsidRPr="00A14464">
        <w:rPr>
          <w:sz w:val="28"/>
          <w:szCs w:val="28"/>
          <w:lang w:val="uk-UA"/>
        </w:rPr>
        <w:t>Спеціальна звітність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  <w:lang w:val="uk-UA"/>
        </w:rPr>
      </w:pPr>
      <w:r w:rsidRPr="00A14464">
        <w:rPr>
          <w:sz w:val="28"/>
          <w:szCs w:val="28"/>
          <w:lang w:val="uk-UA"/>
        </w:rPr>
        <w:t>Контроль фінансової звітності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  <w:lang w:val="uk-UA"/>
        </w:rPr>
      </w:pPr>
      <w:r w:rsidRPr="00A14464">
        <w:rPr>
          <w:sz w:val="28"/>
          <w:szCs w:val="28"/>
          <w:lang w:val="uk-UA"/>
        </w:rPr>
        <w:t>Особливості аналізу фінансової звітності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  <w:lang w:val="uk-UA"/>
        </w:rPr>
      </w:pPr>
      <w:r w:rsidRPr="00A14464">
        <w:rPr>
          <w:sz w:val="28"/>
          <w:szCs w:val="28"/>
          <w:lang w:val="uk-UA"/>
        </w:rPr>
        <w:t>Декларація про прибуток підприємства</w:t>
      </w:r>
      <w:r w:rsidR="00C332A4">
        <w:rPr>
          <w:sz w:val="28"/>
          <w:szCs w:val="28"/>
          <w:lang w:val="uk-UA"/>
        </w:rPr>
        <w:t xml:space="preserve">: структура та порядок заповнення </w:t>
      </w:r>
    </w:p>
    <w:p w:rsidR="008820AE" w:rsidRPr="00A14464" w:rsidRDefault="008820AE" w:rsidP="008820AE">
      <w:pPr>
        <w:numPr>
          <w:ilvl w:val="0"/>
          <w:numId w:val="1"/>
        </w:numPr>
        <w:ind w:hanging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Звітність по оподаткуванню доходів фізичних осіб</w:t>
      </w:r>
    </w:p>
    <w:p w:rsidR="008820AE" w:rsidRPr="00900E48" w:rsidRDefault="008820AE" w:rsidP="008820AE">
      <w:pPr>
        <w:rPr>
          <w:lang w:val="uk-UA"/>
        </w:rPr>
      </w:pPr>
    </w:p>
    <w:p w:rsidR="00A14080" w:rsidRPr="008820AE" w:rsidRDefault="00A14080">
      <w:pPr>
        <w:rPr>
          <w:lang w:val="uk-UA"/>
        </w:rPr>
      </w:pPr>
    </w:p>
    <w:p w:rsidR="008820AE" w:rsidRDefault="008820AE"/>
    <w:p w:rsidR="008820AE" w:rsidRDefault="008820AE">
      <w:bookmarkStart w:id="0" w:name="_GoBack"/>
      <w:bookmarkEnd w:id="0"/>
    </w:p>
    <w:p w:rsidR="008820AE" w:rsidRDefault="008820AE"/>
    <w:sectPr w:rsidR="00882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80525"/>
    <w:multiLevelType w:val="hybridMultilevel"/>
    <w:tmpl w:val="2348F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6BC"/>
    <w:rsid w:val="000101DC"/>
    <w:rsid w:val="00075A83"/>
    <w:rsid w:val="00087D41"/>
    <w:rsid w:val="000A4D7D"/>
    <w:rsid w:val="000C6BEB"/>
    <w:rsid w:val="000E050E"/>
    <w:rsid w:val="00113C2E"/>
    <w:rsid w:val="0013519D"/>
    <w:rsid w:val="001B218D"/>
    <w:rsid w:val="001D7E37"/>
    <w:rsid w:val="00220184"/>
    <w:rsid w:val="0024008D"/>
    <w:rsid w:val="002E0410"/>
    <w:rsid w:val="005D3C06"/>
    <w:rsid w:val="00627B80"/>
    <w:rsid w:val="00647807"/>
    <w:rsid w:val="00663A97"/>
    <w:rsid w:val="006B5E57"/>
    <w:rsid w:val="006B5F3D"/>
    <w:rsid w:val="006C6028"/>
    <w:rsid w:val="006F60A8"/>
    <w:rsid w:val="00725BFD"/>
    <w:rsid w:val="00726AED"/>
    <w:rsid w:val="007942A0"/>
    <w:rsid w:val="007B2F6A"/>
    <w:rsid w:val="007E2C7F"/>
    <w:rsid w:val="008820AE"/>
    <w:rsid w:val="00944EDC"/>
    <w:rsid w:val="00962F91"/>
    <w:rsid w:val="00A10633"/>
    <w:rsid w:val="00A14080"/>
    <w:rsid w:val="00A37FE5"/>
    <w:rsid w:val="00A41136"/>
    <w:rsid w:val="00A666D8"/>
    <w:rsid w:val="00A802E4"/>
    <w:rsid w:val="00AB759E"/>
    <w:rsid w:val="00B16B56"/>
    <w:rsid w:val="00C332A4"/>
    <w:rsid w:val="00C468AA"/>
    <w:rsid w:val="00C70893"/>
    <w:rsid w:val="00CB68B9"/>
    <w:rsid w:val="00D240C7"/>
    <w:rsid w:val="00D61778"/>
    <w:rsid w:val="00D7448E"/>
    <w:rsid w:val="00DA2D4D"/>
    <w:rsid w:val="00E4152D"/>
    <w:rsid w:val="00ED5606"/>
    <w:rsid w:val="00F06555"/>
    <w:rsid w:val="00F706FD"/>
    <w:rsid w:val="00F716BC"/>
    <w:rsid w:val="00F90657"/>
    <w:rsid w:val="00FC69BD"/>
    <w:rsid w:val="00FD09D6"/>
    <w:rsid w:val="00FE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2400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nout</dc:creator>
  <cp:keywords/>
  <dc:description/>
  <cp:lastModifiedBy>nout</cp:lastModifiedBy>
  <cp:revision>4</cp:revision>
  <dcterms:created xsi:type="dcterms:W3CDTF">2015-02-24T14:10:00Z</dcterms:created>
  <dcterms:modified xsi:type="dcterms:W3CDTF">2015-02-24T14:13:00Z</dcterms:modified>
</cp:coreProperties>
</file>