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CE9" w:rsidRPr="00C25178" w:rsidRDefault="00537CE9" w:rsidP="00537CE9">
      <w:pPr>
        <w:shd w:val="clear" w:color="auto" w:fill="FFFFFF"/>
        <w:ind w:right="125" w:firstLine="567"/>
        <w:jc w:val="center"/>
        <w:rPr>
          <w:b/>
          <w:sz w:val="24"/>
        </w:rPr>
      </w:pPr>
      <w:proofErr w:type="spellStart"/>
      <w:r w:rsidRPr="00C25178">
        <w:rPr>
          <w:b/>
          <w:sz w:val="24"/>
        </w:rPr>
        <w:t>Питання</w:t>
      </w:r>
      <w:proofErr w:type="spellEnd"/>
      <w:r w:rsidRPr="00C25178">
        <w:rPr>
          <w:b/>
          <w:sz w:val="24"/>
        </w:rPr>
        <w:t xml:space="preserve"> для п</w:t>
      </w:r>
      <w:r w:rsidRPr="00C25178">
        <w:rPr>
          <w:b/>
          <w:sz w:val="24"/>
          <w:lang w:val="uk-UA"/>
        </w:rPr>
        <w:t>і</w:t>
      </w:r>
      <w:proofErr w:type="spellStart"/>
      <w:r w:rsidRPr="00C25178">
        <w:rPr>
          <w:b/>
          <w:sz w:val="24"/>
        </w:rPr>
        <w:t>дсумкового</w:t>
      </w:r>
      <w:proofErr w:type="spellEnd"/>
      <w:r w:rsidRPr="00C25178">
        <w:rPr>
          <w:b/>
          <w:sz w:val="24"/>
        </w:rPr>
        <w:t xml:space="preserve"> модульного контролю </w:t>
      </w:r>
      <w:r w:rsidRPr="00C25178">
        <w:rPr>
          <w:b/>
          <w:sz w:val="24"/>
          <w:lang w:val="uk-UA"/>
        </w:rPr>
        <w:t xml:space="preserve">з курсу </w:t>
      </w:r>
      <w:r w:rsidRPr="00C25178">
        <w:rPr>
          <w:b/>
          <w:sz w:val="24"/>
        </w:rPr>
        <w:t>“</w:t>
      </w:r>
      <w:proofErr w:type="spellStart"/>
      <w:r>
        <w:rPr>
          <w:b/>
          <w:sz w:val="24"/>
        </w:rPr>
        <w:t>Захист</w:t>
      </w:r>
      <w:proofErr w:type="spellEnd"/>
      <w:r>
        <w:rPr>
          <w:b/>
          <w:sz w:val="24"/>
        </w:rPr>
        <w:t xml:space="preserve"> </w:t>
      </w:r>
      <w:r w:rsidRPr="00C25178">
        <w:rPr>
          <w:b/>
          <w:sz w:val="24"/>
          <w:lang w:val="uk-UA"/>
        </w:rPr>
        <w:t>прав людини</w:t>
      </w:r>
      <w:r w:rsidRPr="00C25178">
        <w:rPr>
          <w:b/>
          <w:sz w:val="24"/>
        </w:rPr>
        <w:t>”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Місце теорії прав людини в системі юридичних наук; значення та актуальність теорії прав людини;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 xml:space="preserve">Основні теоретико-правові підходи до розуміння прав людини; Переваги та недоліки </w:t>
      </w:r>
      <w:proofErr w:type="spellStart"/>
      <w:r w:rsidRPr="00C25178">
        <w:rPr>
          <w:sz w:val="24"/>
          <w:lang w:val="uk-UA"/>
        </w:rPr>
        <w:t>природноправового</w:t>
      </w:r>
      <w:proofErr w:type="spellEnd"/>
      <w:r w:rsidRPr="00C25178">
        <w:rPr>
          <w:sz w:val="24"/>
          <w:lang w:val="uk-UA"/>
        </w:rPr>
        <w:t xml:space="preserve"> і позитивістського підходів у механізмі реалізації прав людини;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Права людини і цивілізація;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Права людини і проблема культурного релятивізму;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Поняття та характеристика прав людини;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Поняття та характеристика прав громадянина;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Генезис прав людини (епоха Античності, Середньовіччя та Нового часу; характеристика розвитку інституту прав людини в сучасний період);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Співвідношення категорій “права” та “свободи” людини і громадянина, їх взаємозв’язок із категорією обов’язків;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Підстави розрізнення прав людини та прав громадянина і відповідних статусів у позитивному праві;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Розрізнення статусу людини і громадянина за міжнародним правом та національним законодавством;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Класифікація прав людини (позитивні і негативні права; класифікація за сферами життєдіяльності); фундаментальні (основні) та нефундаментальні (додаткові) права особи, їх взаємозв’язок та відмінність;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Права першого покоління;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Права другого покоління;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Права третього покоління;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Поняття та структура правового статусу людини і громадянина;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Види правових статусів;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Позитивні (юридичні) права особи як елемент правового статусу;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Підстави обмежень прав та свобод особи;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Обмеження прав та свобод особи за національним законодавством;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Права та свободи людини та громадянина в умовах надзвичайного та воєнного стану;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</w:rPr>
      </w:pPr>
      <w:r w:rsidRPr="00C25178">
        <w:rPr>
          <w:sz w:val="24"/>
          <w:lang w:val="uk-UA"/>
        </w:rPr>
        <w:t>Поняття соціально-правового механізму забезпечення основних прав та свобод людини і громадянина, його структура;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</w:rPr>
      </w:pPr>
      <w:r w:rsidRPr="00C25178">
        <w:rPr>
          <w:sz w:val="24"/>
          <w:lang w:val="uk-UA"/>
        </w:rPr>
        <w:t>Гарантії прав та свобод людини і громадянина в Україні; ю</w:t>
      </w:r>
      <w:proofErr w:type="spellStart"/>
      <w:r w:rsidRPr="00C25178">
        <w:rPr>
          <w:sz w:val="24"/>
        </w:rPr>
        <w:t>ридичні</w:t>
      </w:r>
      <w:proofErr w:type="spellEnd"/>
      <w:r w:rsidRPr="00C25178">
        <w:rPr>
          <w:sz w:val="24"/>
        </w:rPr>
        <w:t xml:space="preserve"> </w:t>
      </w:r>
      <w:proofErr w:type="spellStart"/>
      <w:r w:rsidRPr="00C25178">
        <w:rPr>
          <w:sz w:val="24"/>
        </w:rPr>
        <w:t>гарантії</w:t>
      </w:r>
      <w:proofErr w:type="spellEnd"/>
      <w:r w:rsidRPr="00C25178">
        <w:rPr>
          <w:sz w:val="24"/>
        </w:rPr>
        <w:t xml:space="preserve"> прав та свобод </w:t>
      </w:r>
      <w:r w:rsidRPr="00C25178">
        <w:rPr>
          <w:sz w:val="24"/>
          <w:lang w:val="uk-UA"/>
        </w:rPr>
        <w:t>особи;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Соціально-правовий механізм забезпечення прав людини в Україні;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Органи державної влади України в механізмі забезпечення основних прав та свобод людини і громадянина;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Судовий захист прав особи в механізмі забезпечення її основних прав;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proofErr w:type="spellStart"/>
      <w:r w:rsidRPr="00C25178">
        <w:rPr>
          <w:sz w:val="24"/>
          <w:lang w:val="uk-UA"/>
        </w:rPr>
        <w:t>Юридико</w:t>
      </w:r>
      <w:proofErr w:type="spellEnd"/>
      <w:r w:rsidRPr="00C25178">
        <w:rPr>
          <w:sz w:val="24"/>
          <w:lang w:val="uk-UA"/>
        </w:rPr>
        <w:t>-технічні недоліки вітчизняного законодавства про права людини і громадянина;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Міжнародно-правові механізми захисту прав людини;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bCs/>
          <w:sz w:val="24"/>
          <w:lang w:val="uk-UA"/>
        </w:rPr>
        <w:t xml:space="preserve">Поява і розвиток </w:t>
      </w:r>
      <w:r w:rsidRPr="00C25178">
        <w:rPr>
          <w:sz w:val="24"/>
          <w:lang w:val="uk-UA"/>
        </w:rPr>
        <w:t>сучасної системи міжнародного захисту прав людини;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Загальна декларація про права людини;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Пакт про економічні, соціальні та культурні права;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Пакт про громадянські і політичні права;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Комітет ООН з прав людини, повноваження, організація діяльності;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Завдання та принципи міжнародного захисту прав людини;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bCs/>
          <w:sz w:val="24"/>
          <w:lang w:val="uk-UA"/>
        </w:rPr>
        <w:t>Механізм захисту прав людини в рамках ООН: загальна характеристика;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bCs/>
          <w:sz w:val="24"/>
          <w:lang w:val="uk-UA"/>
        </w:rPr>
        <w:lastRenderedPageBreak/>
        <w:t>Органи ООН, що сприяють захисту прав людини;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Комісія ООН з прав людини</w:t>
      </w:r>
      <w:r w:rsidRPr="00C25178">
        <w:rPr>
          <w:sz w:val="24"/>
        </w:rPr>
        <w:t xml:space="preserve">: </w:t>
      </w:r>
      <w:proofErr w:type="spellStart"/>
      <w:r w:rsidRPr="00C25178">
        <w:rPr>
          <w:sz w:val="24"/>
        </w:rPr>
        <w:t>компетенція</w:t>
      </w:r>
      <w:proofErr w:type="spellEnd"/>
      <w:r w:rsidRPr="00C25178">
        <w:rPr>
          <w:sz w:val="24"/>
        </w:rPr>
        <w:t xml:space="preserve">, </w:t>
      </w:r>
      <w:proofErr w:type="spellStart"/>
      <w:r w:rsidRPr="00C25178">
        <w:rPr>
          <w:sz w:val="24"/>
        </w:rPr>
        <w:t>організація</w:t>
      </w:r>
      <w:proofErr w:type="spellEnd"/>
      <w:r w:rsidRPr="00C25178">
        <w:rPr>
          <w:sz w:val="24"/>
        </w:rPr>
        <w:t xml:space="preserve"> </w:t>
      </w:r>
      <w:proofErr w:type="spellStart"/>
      <w:r w:rsidRPr="00C25178">
        <w:rPr>
          <w:sz w:val="24"/>
        </w:rPr>
        <w:t>діяльності</w:t>
      </w:r>
      <w:proofErr w:type="spellEnd"/>
      <w:r w:rsidRPr="00C25178">
        <w:rPr>
          <w:sz w:val="24"/>
          <w:lang w:val="uk-UA"/>
        </w:rPr>
        <w:t>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bCs/>
          <w:sz w:val="24"/>
          <w:lang w:val="uk-UA"/>
        </w:rPr>
        <w:t>Міжнародна Конвенція з ліквідації усіх форм расової дискримінації;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bCs/>
          <w:sz w:val="24"/>
          <w:lang w:val="uk-UA"/>
        </w:rPr>
        <w:t>Конвенція проти тортур та інших форм жорстокого, нелюдського або принизливого поводження;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bCs/>
          <w:sz w:val="24"/>
          <w:lang w:val="uk-UA"/>
        </w:rPr>
        <w:t>Загальна характеристика регіональних механізмів захисту прав людини;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bCs/>
          <w:sz w:val="24"/>
          <w:lang w:val="uk-UA"/>
        </w:rPr>
        <w:t>Міжамериканський механізм захисту прав людини;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bCs/>
          <w:sz w:val="24"/>
          <w:lang w:val="uk-UA"/>
        </w:rPr>
        <w:t>Африканська система захисту прав людини;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Європейська система захисту прав людини;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Європейська Конвенція про захист прав людини та основних свобод. Роль Європейського Суду в її реалізації;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Реформа Європейського Суду 1998 р.;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Компетенція, організація та процедура діяльності Європейського Суду;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Порядок звернення фізичних осіб до Європейського Суду; умови прийнятності справи;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Роль Комітету Міністрів у діяльності Суду;</w:t>
      </w:r>
    </w:p>
    <w:p w:rsidR="00537CE9" w:rsidRPr="00C25178" w:rsidRDefault="00537CE9" w:rsidP="00537CE9">
      <w:pPr>
        <w:numPr>
          <w:ilvl w:val="0"/>
          <w:numId w:val="1"/>
        </w:numPr>
        <w:shd w:val="clear" w:color="auto" w:fill="FFFFFF"/>
        <w:tabs>
          <w:tab w:val="num" w:pos="1701"/>
        </w:tabs>
        <w:ind w:right="125"/>
        <w:jc w:val="both"/>
        <w:rPr>
          <w:sz w:val="24"/>
        </w:rPr>
      </w:pPr>
      <w:r w:rsidRPr="00C25178">
        <w:rPr>
          <w:sz w:val="24"/>
          <w:lang w:val="uk-UA"/>
        </w:rPr>
        <w:t>Вплив правосуддя Європейського Суду на вітчизняне судочинство.</w:t>
      </w:r>
    </w:p>
    <w:p w:rsidR="00F6488C" w:rsidRDefault="00F6488C">
      <w:bookmarkStart w:id="0" w:name="_GoBack"/>
      <w:bookmarkEnd w:id="0"/>
    </w:p>
    <w:sectPr w:rsidR="00F6488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A14B5"/>
    <w:multiLevelType w:val="hybridMultilevel"/>
    <w:tmpl w:val="41748A80"/>
    <w:lvl w:ilvl="0" w:tplc="F16EA75A">
      <w:start w:val="1"/>
      <w:numFmt w:val="decimal"/>
      <w:lvlText w:val="%1."/>
      <w:lvlJc w:val="left"/>
      <w:pPr>
        <w:tabs>
          <w:tab w:val="num" w:pos="1003"/>
        </w:tabs>
        <w:ind w:left="1003" w:hanging="283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C78"/>
    <w:rsid w:val="00537CE9"/>
    <w:rsid w:val="00AF3C78"/>
    <w:rsid w:val="00F6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3E3D49-BD66-458E-BB7C-588F57116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CE9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2866</Characters>
  <Application>Microsoft Office Word</Application>
  <DocSecurity>0</DocSecurity>
  <Lines>23</Lines>
  <Paragraphs>6</Paragraphs>
  <ScaleCrop>false</ScaleCrop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РОЗКЛАД</dc:creator>
  <cp:keywords/>
  <dc:description/>
  <cp:lastModifiedBy>РОЗКЛАД</cp:lastModifiedBy>
  <cp:revision>2</cp:revision>
  <dcterms:created xsi:type="dcterms:W3CDTF">2019-12-14T10:39:00Z</dcterms:created>
  <dcterms:modified xsi:type="dcterms:W3CDTF">2019-12-14T10:39:00Z</dcterms:modified>
</cp:coreProperties>
</file>