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379" w:rsidRPr="005236F9" w:rsidRDefault="00AC224D" w:rsidP="00AC224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236F9">
        <w:rPr>
          <w:rFonts w:ascii="Times New Roman" w:hAnsi="Times New Roman" w:cs="Times New Roman"/>
          <w:sz w:val="28"/>
          <w:szCs w:val="28"/>
        </w:rPr>
        <w:t xml:space="preserve">Перелік питань для контролю з дисципліни </w:t>
      </w:r>
      <w:r w:rsidR="00CC5B4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CC5B45" w:rsidRPr="00CC5B45">
        <w:rPr>
          <w:rFonts w:ascii="Times New Roman" w:hAnsi="Times New Roman" w:cs="Times New Roman"/>
          <w:sz w:val="28"/>
          <w:szCs w:val="28"/>
          <w:lang w:val="uk-UA"/>
        </w:rPr>
        <w:t>іжнародне судочинство</w:t>
      </w:r>
    </w:p>
    <w:p w:rsidR="00AC224D" w:rsidRPr="005236F9" w:rsidRDefault="00AC224D" w:rsidP="00AC224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05E7E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Pr="009D03D0">
        <w:rPr>
          <w:rFonts w:ascii="Times New Roman" w:hAnsi="Times New Roman" w:cs="Times New Roman"/>
          <w:sz w:val="28"/>
          <w:szCs w:val="28"/>
        </w:rPr>
        <w:t>сторі</w:t>
      </w:r>
      <w:r w:rsidR="00505E7E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9D03D0">
        <w:rPr>
          <w:rFonts w:ascii="Times New Roman" w:hAnsi="Times New Roman" w:cs="Times New Roman"/>
          <w:sz w:val="28"/>
          <w:szCs w:val="28"/>
        </w:rPr>
        <w:t xml:space="preserve"> створення Міжнародного суду ООН.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875AF0">
        <w:rPr>
          <w:rFonts w:ascii="Times New Roman" w:hAnsi="Times New Roman" w:cs="Times New Roman"/>
          <w:sz w:val="28"/>
          <w:szCs w:val="28"/>
        </w:rPr>
        <w:t>Структура Європейського суду з прав людини.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E75E7">
        <w:rPr>
          <w:rFonts w:ascii="Times New Roman" w:hAnsi="Times New Roman" w:cs="Times New Roman"/>
          <w:sz w:val="28"/>
          <w:szCs w:val="28"/>
        </w:rPr>
        <w:t>Суд з примирення та арбітражу Організації з безпеки і співробітництва в Європі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D03D0">
        <w:rPr>
          <w:rFonts w:ascii="Times New Roman" w:hAnsi="Times New Roman" w:cs="Times New Roman"/>
          <w:sz w:val="28"/>
          <w:szCs w:val="28"/>
        </w:rPr>
        <w:t>Структура Міжнародного суду ООН.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75AF0">
        <w:rPr>
          <w:rFonts w:ascii="Times New Roman" w:hAnsi="Times New Roman" w:cs="Times New Roman"/>
          <w:sz w:val="28"/>
          <w:szCs w:val="28"/>
        </w:rPr>
        <w:t>Порядок проходження справи Європейського суду з прав людини.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E75E7">
        <w:rPr>
          <w:rFonts w:ascii="Times New Roman" w:hAnsi="Times New Roman" w:cs="Times New Roman"/>
          <w:sz w:val="28"/>
          <w:szCs w:val="28"/>
        </w:rPr>
        <w:t>До історії створення Міжнародного трибуналу з морського права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D03D0">
        <w:rPr>
          <w:rFonts w:ascii="Times New Roman" w:hAnsi="Times New Roman" w:cs="Times New Roman"/>
          <w:sz w:val="28"/>
          <w:szCs w:val="28"/>
        </w:rPr>
        <w:t>Юрисдикція Міжнародного суду ООН.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875AF0">
        <w:rPr>
          <w:rFonts w:ascii="Times New Roman" w:hAnsi="Times New Roman" w:cs="Times New Roman"/>
          <w:sz w:val="28"/>
          <w:szCs w:val="28"/>
        </w:rPr>
        <w:t>До історії Європейського суду з прав людини.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E75E7">
        <w:rPr>
          <w:rFonts w:ascii="Times New Roman" w:hAnsi="Times New Roman" w:cs="Times New Roman"/>
          <w:sz w:val="28"/>
          <w:szCs w:val="28"/>
        </w:rPr>
        <w:t>Структура Трибуналу з морського права.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D03D0">
        <w:rPr>
          <w:rFonts w:ascii="Times New Roman" w:hAnsi="Times New Roman" w:cs="Times New Roman"/>
          <w:sz w:val="28"/>
          <w:szCs w:val="28"/>
        </w:rPr>
        <w:t>Процедура судочинства в Міжнародному суді ООН.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 </w:t>
      </w:r>
      <w:r w:rsidRPr="00CE75E7">
        <w:rPr>
          <w:rFonts w:ascii="Times New Roman" w:hAnsi="Times New Roman" w:cs="Times New Roman"/>
          <w:sz w:val="28"/>
          <w:szCs w:val="28"/>
        </w:rPr>
        <w:t>Статус і правові основи діяльності механізму розв’язання спорів у рамках Світової організації торгівлі.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E75E7">
        <w:rPr>
          <w:rFonts w:ascii="Times New Roman" w:hAnsi="Times New Roman" w:cs="Times New Roman"/>
          <w:sz w:val="28"/>
          <w:szCs w:val="28"/>
        </w:rPr>
        <w:t>Компетенція Міжнародного центру по врегулюванню інвестиційних спорів.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D03D0">
        <w:rPr>
          <w:rFonts w:ascii="Times New Roman" w:hAnsi="Times New Roman" w:cs="Times New Roman"/>
          <w:sz w:val="28"/>
          <w:szCs w:val="28"/>
        </w:rPr>
        <w:t>Процедура внесення консультативних висновків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9D03D0">
        <w:rPr>
          <w:rFonts w:ascii="Times New Roman" w:hAnsi="Times New Roman" w:cs="Times New Roman"/>
          <w:sz w:val="28"/>
          <w:szCs w:val="28"/>
        </w:rPr>
        <w:t>Міжнародному суді ООН.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E75E7">
        <w:rPr>
          <w:rFonts w:ascii="Times New Roman" w:hAnsi="Times New Roman" w:cs="Times New Roman"/>
          <w:sz w:val="28"/>
          <w:szCs w:val="28"/>
        </w:rPr>
        <w:t xml:space="preserve">До історії питання про </w:t>
      </w:r>
      <w:r>
        <w:rPr>
          <w:rFonts w:ascii="Times New Roman" w:hAnsi="Times New Roman" w:cs="Times New Roman"/>
          <w:sz w:val="28"/>
          <w:szCs w:val="28"/>
        </w:rPr>
        <w:t>Суд Європейських співтовариств.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E75E7">
        <w:rPr>
          <w:rFonts w:ascii="Times New Roman" w:hAnsi="Times New Roman" w:cs="Times New Roman"/>
          <w:sz w:val="28"/>
          <w:szCs w:val="28"/>
        </w:rPr>
        <w:t>Статус та правові засади діяльності Міжнародного центру по врегулюванню інвестиційних спорів.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D03D0">
        <w:rPr>
          <w:rFonts w:ascii="Times New Roman" w:hAnsi="Times New Roman" w:cs="Times New Roman"/>
          <w:sz w:val="28"/>
          <w:szCs w:val="28"/>
        </w:rPr>
        <w:t>Практика діяльності Міжнародного суду ООН.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E75E7">
        <w:rPr>
          <w:rFonts w:ascii="Times New Roman" w:hAnsi="Times New Roman" w:cs="Times New Roman"/>
          <w:sz w:val="28"/>
          <w:szCs w:val="28"/>
        </w:rPr>
        <w:t>Структура Світової організації торгівлі та органи, що беруть участь у розв’язанні справ.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E75E7">
        <w:rPr>
          <w:rFonts w:ascii="Times New Roman" w:hAnsi="Times New Roman" w:cs="Times New Roman"/>
          <w:sz w:val="28"/>
          <w:szCs w:val="28"/>
        </w:rPr>
        <w:t xml:space="preserve">Міжнародний арбітражний </w:t>
      </w:r>
      <w:r>
        <w:rPr>
          <w:rFonts w:ascii="Times New Roman" w:hAnsi="Times New Roman" w:cs="Times New Roman"/>
          <w:sz w:val="28"/>
          <w:szCs w:val="28"/>
        </w:rPr>
        <w:t>суд Міжнародної торгової палати.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D03D0">
        <w:rPr>
          <w:rFonts w:ascii="Times New Roman" w:hAnsi="Times New Roman" w:cs="Times New Roman"/>
          <w:sz w:val="28"/>
          <w:szCs w:val="28"/>
        </w:rPr>
        <w:t>З історії створення Постійної палати третейського суду.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75AF0">
        <w:rPr>
          <w:rFonts w:ascii="Times New Roman" w:hAnsi="Times New Roman" w:cs="Times New Roman"/>
          <w:sz w:val="28"/>
          <w:szCs w:val="28"/>
        </w:rPr>
        <w:t>Юрисдикція Європейського суду та критерії прийнятності заяви до розгляду.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>. Міжнародний кримінальний суд.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D03D0">
        <w:rPr>
          <w:rFonts w:ascii="Times New Roman" w:hAnsi="Times New Roman" w:cs="Times New Roman"/>
          <w:sz w:val="28"/>
          <w:szCs w:val="28"/>
        </w:rPr>
        <w:t>Структура Постійної палати третейського суду.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75AF0">
        <w:rPr>
          <w:rFonts w:ascii="Times New Roman" w:hAnsi="Times New Roman" w:cs="Times New Roman"/>
          <w:sz w:val="28"/>
          <w:szCs w:val="28"/>
        </w:rPr>
        <w:t>Реформування Європейського суду з прав людини.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E75E7">
        <w:rPr>
          <w:rFonts w:ascii="Times New Roman" w:hAnsi="Times New Roman" w:cs="Times New Roman"/>
          <w:sz w:val="28"/>
          <w:szCs w:val="28"/>
        </w:rPr>
        <w:t>Міжнародні кримінальні трибунали по колишній Югославії і Руанді.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D03D0">
        <w:rPr>
          <w:rFonts w:ascii="Times New Roman" w:hAnsi="Times New Roman" w:cs="Times New Roman"/>
          <w:sz w:val="28"/>
          <w:szCs w:val="28"/>
        </w:rPr>
        <w:t>Угоди про місцеперебуванняПостійної палати третейського суду.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75AF0">
        <w:rPr>
          <w:rFonts w:ascii="Times New Roman" w:hAnsi="Times New Roman" w:cs="Times New Roman"/>
          <w:sz w:val="28"/>
          <w:szCs w:val="28"/>
        </w:rPr>
        <w:t>Важливість практики Європейського суду для України.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E75E7">
        <w:rPr>
          <w:rFonts w:ascii="Times New Roman" w:hAnsi="Times New Roman" w:cs="Times New Roman"/>
          <w:sz w:val="28"/>
          <w:szCs w:val="28"/>
        </w:rPr>
        <w:t>Процедура провадження справ Міжнародного трибуналу з морського права.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75AF0">
        <w:rPr>
          <w:rFonts w:ascii="Times New Roman" w:hAnsi="Times New Roman" w:cs="Times New Roman"/>
          <w:sz w:val="28"/>
          <w:szCs w:val="28"/>
        </w:rPr>
        <w:t>Спеціалізована палатаПостійної палати третейського суду.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75AF0">
        <w:rPr>
          <w:rFonts w:ascii="Times New Roman" w:hAnsi="Times New Roman" w:cs="Times New Roman"/>
          <w:sz w:val="28"/>
          <w:szCs w:val="28"/>
        </w:rPr>
        <w:t>Застосування практики Європейського суду з прав людини в Україні.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E75E7">
        <w:rPr>
          <w:rFonts w:ascii="Times New Roman" w:hAnsi="Times New Roman" w:cs="Times New Roman"/>
          <w:sz w:val="28"/>
          <w:szCs w:val="28"/>
        </w:rPr>
        <w:t xml:space="preserve">Компетенція органів СОТ з розв’язання міжнародних </w:t>
      </w:r>
      <w:r>
        <w:rPr>
          <w:rFonts w:ascii="Times New Roman" w:hAnsi="Times New Roman" w:cs="Times New Roman"/>
          <w:sz w:val="28"/>
          <w:szCs w:val="28"/>
        </w:rPr>
        <w:t>торговельних спорів.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875AF0">
        <w:rPr>
          <w:rFonts w:ascii="Times New Roman" w:hAnsi="Times New Roman" w:cs="Times New Roman"/>
          <w:sz w:val="28"/>
          <w:szCs w:val="28"/>
        </w:rPr>
        <w:t>Процедура провадженняПостійної палати третейського суду.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875AF0">
        <w:rPr>
          <w:rFonts w:ascii="Times New Roman" w:hAnsi="Times New Roman" w:cs="Times New Roman"/>
          <w:sz w:val="28"/>
          <w:szCs w:val="28"/>
        </w:rPr>
        <w:t>Виконання рішень Європейського суду з прав людини.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904DF1">
        <w:rPr>
          <w:rFonts w:ascii="Times New Roman" w:hAnsi="Times New Roman" w:cs="Times New Roman"/>
          <w:sz w:val="28"/>
          <w:szCs w:val="28"/>
        </w:rPr>
        <w:t>Морська арбітражна комісія при Торгово-промисловій палаті  України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75AF0">
        <w:rPr>
          <w:rFonts w:ascii="Times New Roman" w:hAnsi="Times New Roman" w:cs="Times New Roman"/>
          <w:sz w:val="28"/>
          <w:szCs w:val="28"/>
        </w:rPr>
        <w:t>Практика діяльності Постійної палати третейського суду.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E75E7">
        <w:rPr>
          <w:rFonts w:ascii="Times New Roman" w:hAnsi="Times New Roman" w:cs="Times New Roman"/>
          <w:sz w:val="28"/>
          <w:szCs w:val="28"/>
        </w:rPr>
        <w:t>Структура і функції С</w:t>
      </w:r>
      <w:r>
        <w:rPr>
          <w:rFonts w:ascii="Times New Roman" w:hAnsi="Times New Roman" w:cs="Times New Roman"/>
          <w:sz w:val="28"/>
          <w:szCs w:val="28"/>
        </w:rPr>
        <w:t>уду Європейських співтовариств.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E75E7">
        <w:rPr>
          <w:rFonts w:ascii="Times New Roman" w:hAnsi="Times New Roman" w:cs="Times New Roman"/>
          <w:sz w:val="28"/>
          <w:szCs w:val="28"/>
        </w:rPr>
        <w:t>Процедура розгляду спорів у рамках Світової організації торгівлі.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75AF0">
        <w:rPr>
          <w:rFonts w:ascii="Times New Roman" w:hAnsi="Times New Roman" w:cs="Times New Roman"/>
          <w:sz w:val="28"/>
          <w:szCs w:val="28"/>
        </w:rPr>
        <w:t>Реферативний огляд найважливіших рішень Європейського суду з прав людини</w:t>
      </w:r>
      <w:r>
        <w:rPr>
          <w:rFonts w:ascii="Times New Roman" w:hAnsi="Times New Roman" w:cs="Times New Roman"/>
          <w:sz w:val="28"/>
          <w:szCs w:val="28"/>
        </w:rPr>
        <w:t xml:space="preserve"> щодо України.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4DF1">
        <w:rPr>
          <w:rFonts w:ascii="Times New Roman" w:hAnsi="Times New Roman" w:cs="Times New Roman"/>
          <w:sz w:val="28"/>
          <w:szCs w:val="28"/>
        </w:rPr>
        <w:t>Процедура розгляду інвестиційних спорів.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4DF1">
        <w:rPr>
          <w:rFonts w:ascii="Times New Roman" w:hAnsi="Times New Roman" w:cs="Times New Roman"/>
          <w:sz w:val="28"/>
          <w:szCs w:val="28"/>
        </w:rPr>
        <w:t>Арбітражний інститут Торгової палати м. Стокгольма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75AF0">
        <w:rPr>
          <w:rFonts w:ascii="Times New Roman" w:hAnsi="Times New Roman" w:cs="Times New Roman"/>
          <w:sz w:val="28"/>
          <w:szCs w:val="28"/>
        </w:rPr>
        <w:t>Перспективи реформування Суду Європейських співтовариств.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4DF1">
        <w:rPr>
          <w:rFonts w:ascii="Times New Roman" w:hAnsi="Times New Roman" w:cs="Times New Roman"/>
          <w:sz w:val="28"/>
          <w:szCs w:val="28"/>
        </w:rPr>
        <w:t xml:space="preserve">Міжнародний арбітражний </w:t>
      </w:r>
      <w:r>
        <w:rPr>
          <w:rFonts w:ascii="Times New Roman" w:hAnsi="Times New Roman" w:cs="Times New Roman"/>
          <w:sz w:val="28"/>
          <w:szCs w:val="28"/>
        </w:rPr>
        <w:t>суд Міжнародної торгової палати.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4DF1">
        <w:rPr>
          <w:rFonts w:ascii="Times New Roman" w:hAnsi="Times New Roman" w:cs="Times New Roman"/>
          <w:sz w:val="28"/>
          <w:szCs w:val="28"/>
        </w:rPr>
        <w:t>Структура Європейського суду з прав людини.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4DF1">
        <w:rPr>
          <w:rFonts w:ascii="Times New Roman" w:hAnsi="Times New Roman" w:cs="Times New Roman"/>
          <w:sz w:val="28"/>
          <w:szCs w:val="28"/>
        </w:rPr>
        <w:t>Лондонський Міжнародний третейський суд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4DF1">
        <w:rPr>
          <w:rFonts w:ascii="Times New Roman" w:hAnsi="Times New Roman" w:cs="Times New Roman"/>
          <w:sz w:val="28"/>
          <w:szCs w:val="28"/>
        </w:rPr>
        <w:t>Міжнародний комерційний арбітражний суд при Торгово-промисловій палаті  України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73B7" w:rsidRPr="00904DF1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4DF1">
        <w:rPr>
          <w:rFonts w:ascii="Times New Roman" w:hAnsi="Times New Roman" w:cs="Times New Roman"/>
          <w:sz w:val="28"/>
          <w:szCs w:val="28"/>
        </w:rPr>
        <w:t>Структура Міжнародного центру по врегулюванню інвестиційних спорів.</w:t>
      </w:r>
    </w:p>
    <w:p w:rsidR="003273B7" w:rsidRDefault="003273B7" w:rsidP="003273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224D" w:rsidRPr="003273B7" w:rsidRDefault="00AC224D" w:rsidP="005236F9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sectPr w:rsidR="00AC224D" w:rsidRPr="003273B7" w:rsidSect="00126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C5D6C"/>
    <w:multiLevelType w:val="multilevel"/>
    <w:tmpl w:val="EE48E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AF7F79"/>
    <w:multiLevelType w:val="hybridMultilevel"/>
    <w:tmpl w:val="4DEE081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C224D"/>
    <w:rsid w:val="000A7B68"/>
    <w:rsid w:val="00126379"/>
    <w:rsid w:val="0019221B"/>
    <w:rsid w:val="003273B7"/>
    <w:rsid w:val="00505E7E"/>
    <w:rsid w:val="005236F9"/>
    <w:rsid w:val="00AC224D"/>
    <w:rsid w:val="00CC5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3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0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2019-03-15T17:07:00Z</dcterms:created>
  <dcterms:modified xsi:type="dcterms:W3CDTF">2019-03-15T17:43:00Z</dcterms:modified>
</cp:coreProperties>
</file>